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64176D59" w:rsidR="00841BCD" w:rsidRPr="00BC54B6"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24"/>
          <w:szCs w:val="24"/>
          <w:lang w:val="en-GB" w:eastAsia="zh-CN"/>
        </w:rPr>
      </w:pPr>
      <w:bookmarkStart w:id="0" w:name="OLE_LINK5"/>
      <w:bookmarkStart w:id="1" w:name="OLE_LINK6"/>
      <w:r w:rsidRPr="00BC54B6">
        <w:rPr>
          <w:rFonts w:ascii="Arial" w:eastAsia="SimSun" w:hAnsi="Arial" w:cs="Times New Roman"/>
          <w:b/>
          <w:bCs/>
          <w:sz w:val="24"/>
          <w:szCs w:val="24"/>
          <w:lang w:val="en-GB"/>
        </w:rPr>
        <w:t>3GPP T</w:t>
      </w:r>
      <w:bookmarkStart w:id="2" w:name="_Ref452454252"/>
      <w:bookmarkEnd w:id="2"/>
      <w:r w:rsidRPr="00BC54B6">
        <w:rPr>
          <w:rFonts w:ascii="Arial" w:eastAsia="SimSun" w:hAnsi="Arial" w:cs="Times New Roman"/>
          <w:b/>
          <w:bCs/>
          <w:sz w:val="24"/>
          <w:szCs w:val="24"/>
          <w:lang w:val="en-GB"/>
        </w:rPr>
        <w:t xml:space="preserve">SG-RAN </w:t>
      </w:r>
      <w:r w:rsidR="00ED7600" w:rsidRPr="00BC54B6">
        <w:rPr>
          <w:rFonts w:ascii="Arial" w:eastAsia="SimSun" w:hAnsi="Arial" w:cs="Times New Roman"/>
          <w:b/>
          <w:sz w:val="24"/>
          <w:szCs w:val="24"/>
          <w:lang w:val="en-GB"/>
        </w:rPr>
        <w:t>WG4 Meeting #</w:t>
      </w:r>
      <w:r w:rsidR="00CE1438">
        <w:rPr>
          <w:rFonts w:ascii="Arial" w:eastAsia="SimSun" w:hAnsi="Arial" w:cs="Times New Roman"/>
          <w:b/>
          <w:sz w:val="24"/>
          <w:szCs w:val="24"/>
          <w:lang w:val="en-GB"/>
        </w:rPr>
        <w:t>10</w:t>
      </w:r>
      <w:r w:rsidR="00FC72D5">
        <w:rPr>
          <w:rFonts w:ascii="Arial" w:eastAsia="SimSun" w:hAnsi="Arial" w:cs="Times New Roman"/>
          <w:b/>
          <w:sz w:val="24"/>
          <w:szCs w:val="24"/>
          <w:lang w:val="en-GB"/>
        </w:rPr>
        <w:t>3</w:t>
      </w:r>
      <w:r w:rsidR="001868EE" w:rsidRPr="00BC54B6">
        <w:rPr>
          <w:rFonts w:ascii="Arial" w:eastAsia="SimSun" w:hAnsi="Arial" w:cs="Times New Roman"/>
          <w:b/>
          <w:sz w:val="24"/>
          <w:szCs w:val="24"/>
          <w:lang w:val="en-GB"/>
        </w:rPr>
        <w:t>-e</w:t>
      </w:r>
      <w:r w:rsidRPr="00BC54B6">
        <w:rPr>
          <w:rFonts w:ascii="Arial" w:eastAsia="SimSun" w:hAnsi="Arial" w:cs="Times New Roman"/>
          <w:b/>
          <w:bCs/>
          <w:sz w:val="24"/>
          <w:szCs w:val="24"/>
          <w:lang w:val="en-GB"/>
        </w:rPr>
        <w:tab/>
      </w:r>
      <w:r w:rsidR="00E06E30" w:rsidRPr="00E06E30">
        <w:rPr>
          <w:rFonts w:ascii="Arial" w:eastAsia="SimSun" w:hAnsi="Arial" w:cs="Times New Roman"/>
          <w:b/>
          <w:bCs/>
          <w:sz w:val="24"/>
          <w:szCs w:val="24"/>
          <w:lang w:val="en-GB" w:eastAsia="ja-JP"/>
        </w:rPr>
        <w:t>R4-2209042</w:t>
      </w:r>
    </w:p>
    <w:p w14:paraId="457FCC4F" w14:textId="026DC9DE" w:rsidR="00841BCD" w:rsidRPr="00BC54B6"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00BC54B6">
        <w:rPr>
          <w:rFonts w:ascii="Arial" w:eastAsia="SimSun" w:hAnsi="Arial" w:cs="Times New Roman"/>
          <w:b/>
          <w:sz w:val="24"/>
          <w:szCs w:val="24"/>
          <w:lang w:val="en-GB"/>
        </w:rPr>
        <w:t>Electronic Meeting</w:t>
      </w:r>
      <w:r w:rsidR="005C23A4" w:rsidRPr="00BC54B6">
        <w:rPr>
          <w:rFonts w:ascii="Arial" w:eastAsia="SimSun" w:hAnsi="Arial" w:cs="Times New Roman"/>
          <w:b/>
          <w:sz w:val="24"/>
          <w:szCs w:val="24"/>
          <w:lang w:val="en-GB"/>
        </w:rPr>
        <w:t xml:space="preserve">, </w:t>
      </w:r>
      <w:r w:rsidR="00FC72D5">
        <w:rPr>
          <w:rFonts w:ascii="Arial" w:eastAsia="SimSun" w:hAnsi="Arial" w:cs="Times New Roman"/>
          <w:b/>
          <w:sz w:val="24"/>
          <w:szCs w:val="24"/>
          <w:lang w:val="en-GB"/>
        </w:rPr>
        <w:t>9</w:t>
      </w:r>
      <w:r w:rsidR="00FC72D5" w:rsidRPr="00FC72D5">
        <w:rPr>
          <w:rFonts w:ascii="Arial" w:eastAsia="SimSun" w:hAnsi="Arial" w:cs="Times New Roman"/>
          <w:b/>
          <w:sz w:val="24"/>
          <w:szCs w:val="24"/>
          <w:vertAlign w:val="superscript"/>
          <w:lang w:val="en-GB"/>
        </w:rPr>
        <w:t>t</w:t>
      </w:r>
      <w:r w:rsidR="00FC72D5">
        <w:rPr>
          <w:rFonts w:ascii="Arial" w:eastAsia="SimSun" w:hAnsi="Arial" w:cs="Times New Roman"/>
          <w:b/>
          <w:sz w:val="24"/>
          <w:szCs w:val="24"/>
          <w:vertAlign w:val="superscript"/>
          <w:lang w:val="en-GB"/>
        </w:rPr>
        <w:t xml:space="preserve">h </w:t>
      </w:r>
      <w:r w:rsidR="00FC72D5">
        <w:rPr>
          <w:rFonts w:ascii="Arial" w:eastAsia="SimSun" w:hAnsi="Arial" w:cs="Times New Roman"/>
          <w:b/>
          <w:sz w:val="24"/>
          <w:szCs w:val="24"/>
          <w:lang w:val="en-GB"/>
        </w:rPr>
        <w:t>- 20</w:t>
      </w:r>
      <w:r w:rsidR="00FC72D5" w:rsidRPr="00FC72D5">
        <w:rPr>
          <w:rFonts w:ascii="Arial" w:eastAsia="SimSun" w:hAnsi="Arial" w:cs="Times New Roman"/>
          <w:b/>
          <w:sz w:val="24"/>
          <w:szCs w:val="24"/>
          <w:vertAlign w:val="superscript"/>
          <w:lang w:val="en-GB"/>
        </w:rPr>
        <w:t>th</w:t>
      </w:r>
      <w:r w:rsidR="00FC72D5">
        <w:rPr>
          <w:rFonts w:ascii="Arial" w:eastAsia="SimSun" w:hAnsi="Arial" w:cs="Times New Roman"/>
          <w:b/>
          <w:sz w:val="24"/>
          <w:szCs w:val="24"/>
          <w:vertAlign w:val="superscript"/>
          <w:lang w:val="en-GB"/>
        </w:rPr>
        <w:t xml:space="preserve"> </w:t>
      </w:r>
      <w:r w:rsidR="00FC72D5">
        <w:rPr>
          <w:rFonts w:ascii="Arial" w:eastAsia="SimSun" w:hAnsi="Arial" w:cs="Times New Roman"/>
          <w:b/>
          <w:sz w:val="24"/>
          <w:szCs w:val="24"/>
          <w:lang w:val="en-GB"/>
        </w:rPr>
        <w:t>May, 2022</w:t>
      </w:r>
    </w:p>
    <w:bookmarkEnd w:id="0"/>
    <w:bookmarkEnd w:id="1"/>
    <w:p w14:paraId="52CDCD23" w14:textId="77777777" w:rsidR="00841BCD" w:rsidRPr="00BC54B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4"/>
          <w:lang w:val="en-GB" w:eastAsia="ja-JP"/>
        </w:rPr>
      </w:pPr>
    </w:p>
    <w:p w14:paraId="3C439AC5" w14:textId="77777777" w:rsidR="00841BCD" w:rsidRPr="00BC54B6" w:rsidRDefault="00841BCD" w:rsidP="00841BCD">
      <w:pPr>
        <w:tabs>
          <w:tab w:val="left" w:pos="1985"/>
        </w:tabs>
        <w:ind w:left="1985" w:hanging="1985"/>
        <w:rPr>
          <w:rFonts w:ascii="Arial" w:eastAsia="Calibri" w:hAnsi="Arial" w:cs="Arial"/>
          <w:b/>
          <w:bCs/>
          <w:sz w:val="24"/>
          <w:szCs w:val="24"/>
          <w:lang w:val="en-GB"/>
        </w:rPr>
      </w:pPr>
      <w:r w:rsidRPr="00BC54B6">
        <w:rPr>
          <w:rFonts w:ascii="Arial" w:eastAsia="Calibri" w:hAnsi="Arial" w:cs="Arial"/>
          <w:b/>
          <w:bCs/>
          <w:sz w:val="24"/>
          <w:szCs w:val="24"/>
          <w:lang w:val="en-GB"/>
        </w:rPr>
        <w:t>Source:</w:t>
      </w:r>
      <w:r w:rsidRPr="00BC54B6">
        <w:rPr>
          <w:rFonts w:ascii="Arial" w:eastAsia="Calibri" w:hAnsi="Arial" w:cs="Arial"/>
          <w:b/>
          <w:bCs/>
          <w:sz w:val="24"/>
          <w:szCs w:val="24"/>
          <w:lang w:val="en-GB"/>
        </w:rPr>
        <w:tab/>
        <w:t xml:space="preserve">Nokia, </w:t>
      </w:r>
      <w:r w:rsidR="0043750A" w:rsidRPr="00BC54B6">
        <w:rPr>
          <w:rFonts w:ascii="Arial" w:eastAsia="Calibri" w:hAnsi="Arial" w:cs="Arial"/>
          <w:b/>
          <w:bCs/>
          <w:sz w:val="24"/>
          <w:szCs w:val="24"/>
          <w:lang w:val="en-GB"/>
        </w:rPr>
        <w:t>Nokia</w:t>
      </w:r>
      <w:r w:rsidRPr="00BC54B6">
        <w:rPr>
          <w:rFonts w:ascii="Arial" w:eastAsia="Calibri" w:hAnsi="Arial" w:cs="Arial"/>
          <w:b/>
          <w:bCs/>
          <w:sz w:val="24"/>
          <w:szCs w:val="24"/>
          <w:lang w:val="en-GB"/>
        </w:rPr>
        <w:t xml:space="preserve"> Shanghai Bell</w:t>
      </w:r>
      <w:r w:rsidRPr="00BC54B6" w:rsidDel="00636277">
        <w:rPr>
          <w:rFonts w:ascii="Arial" w:eastAsia="Calibri" w:hAnsi="Arial" w:cs="Arial"/>
          <w:b/>
          <w:bCs/>
          <w:sz w:val="24"/>
          <w:szCs w:val="24"/>
          <w:lang w:val="en-GB"/>
        </w:rPr>
        <w:t xml:space="preserve"> </w:t>
      </w:r>
    </w:p>
    <w:p w14:paraId="0895565B" w14:textId="76123449" w:rsidR="00841BCD" w:rsidRPr="00BC54B6" w:rsidRDefault="00841BCD" w:rsidP="00841BCD">
      <w:pPr>
        <w:ind w:left="1985" w:hanging="1985"/>
        <w:rPr>
          <w:rFonts w:ascii="Arial" w:eastAsia="Calibri" w:hAnsi="Arial" w:cs="Arial"/>
          <w:b/>
          <w:bCs/>
          <w:sz w:val="24"/>
          <w:szCs w:val="24"/>
        </w:rPr>
      </w:pPr>
      <w:r w:rsidRPr="00BC54B6">
        <w:rPr>
          <w:rFonts w:ascii="Arial" w:eastAsia="Calibri" w:hAnsi="Arial" w:cs="Arial"/>
          <w:b/>
          <w:bCs/>
          <w:sz w:val="24"/>
          <w:szCs w:val="24"/>
          <w:lang w:val="en-GB"/>
        </w:rPr>
        <w:t>Title:</w:t>
      </w:r>
      <w:r w:rsidRPr="00BC54B6">
        <w:rPr>
          <w:rFonts w:ascii="Arial" w:eastAsia="Calibri" w:hAnsi="Arial" w:cs="Arial"/>
          <w:b/>
          <w:bCs/>
          <w:sz w:val="24"/>
          <w:szCs w:val="24"/>
          <w:lang w:val="en-GB"/>
        </w:rPr>
        <w:tab/>
      </w:r>
      <w:r w:rsidR="00D23AA4" w:rsidRPr="00D23AA4">
        <w:rPr>
          <w:rFonts w:ascii="Arial" w:eastAsia="Calibri" w:hAnsi="Arial" w:cs="Arial"/>
          <w:b/>
          <w:bCs/>
          <w:sz w:val="24"/>
          <w:szCs w:val="24"/>
          <w:lang w:val="en-GB"/>
        </w:rPr>
        <w:t xml:space="preserve">Discussion on mobility requirements for RedCap UEs </w:t>
      </w:r>
    </w:p>
    <w:p w14:paraId="641E8BEA" w14:textId="754513B6" w:rsidR="00841BCD" w:rsidRPr="00BC54B6" w:rsidRDefault="00841BCD" w:rsidP="00841BCD">
      <w:pPr>
        <w:tabs>
          <w:tab w:val="left" w:pos="1985"/>
        </w:tabs>
        <w:spacing w:after="120" w:line="240" w:lineRule="auto"/>
        <w:rPr>
          <w:rFonts w:ascii="Arial" w:eastAsia="MS Mincho" w:hAnsi="Arial" w:cs="Arial"/>
          <w:b/>
          <w:bCs/>
          <w:sz w:val="24"/>
          <w:szCs w:val="24"/>
          <w:lang w:val="en-GB"/>
        </w:rPr>
      </w:pPr>
      <w:r w:rsidRPr="00BC54B6">
        <w:rPr>
          <w:rFonts w:ascii="Arial" w:eastAsia="MS Mincho" w:hAnsi="Arial" w:cs="Arial"/>
          <w:b/>
          <w:bCs/>
          <w:sz w:val="24"/>
          <w:szCs w:val="24"/>
          <w:lang w:val="en-GB"/>
        </w:rPr>
        <w:t>Agenda item:</w:t>
      </w:r>
      <w:r w:rsidRPr="00BC54B6">
        <w:rPr>
          <w:rFonts w:ascii="Arial" w:eastAsia="MS Mincho" w:hAnsi="Arial" w:cs="Arial"/>
          <w:b/>
          <w:bCs/>
          <w:sz w:val="24"/>
          <w:szCs w:val="24"/>
          <w:lang w:val="en-GB"/>
        </w:rPr>
        <w:tab/>
      </w:r>
      <w:r w:rsidR="001641A0" w:rsidRPr="001641A0">
        <w:rPr>
          <w:rFonts w:ascii="Arial" w:eastAsia="MS Mincho" w:hAnsi="Arial" w:cs="Arial"/>
          <w:b/>
          <w:bCs/>
          <w:sz w:val="24"/>
          <w:szCs w:val="24"/>
          <w:lang w:val="en-GB"/>
        </w:rPr>
        <w:t>9.19.3.1.2</w:t>
      </w:r>
      <w:r w:rsidR="001641A0">
        <w:rPr>
          <w:rFonts w:ascii="Arial" w:eastAsia="MS Mincho" w:hAnsi="Arial" w:cs="Arial"/>
          <w:b/>
          <w:bCs/>
          <w:sz w:val="24"/>
          <w:szCs w:val="24"/>
          <w:lang w:val="en-GB"/>
        </w:rPr>
        <w:t xml:space="preserve"> </w:t>
      </w:r>
      <w:r w:rsidR="00D23AA4">
        <w:rPr>
          <w:rFonts w:ascii="Arial" w:eastAsia="MS Mincho" w:hAnsi="Arial" w:cs="Arial"/>
          <w:b/>
          <w:bCs/>
          <w:sz w:val="24"/>
          <w:szCs w:val="24"/>
          <w:lang w:val="en-GB"/>
        </w:rPr>
        <w:t xml:space="preserve">Mobility Requirements </w:t>
      </w:r>
    </w:p>
    <w:p w14:paraId="02EA8C51" w14:textId="120DEC77" w:rsidR="00841BCD" w:rsidRPr="00BC54B6" w:rsidRDefault="00841BCD" w:rsidP="00841BCD">
      <w:pPr>
        <w:tabs>
          <w:tab w:val="left" w:pos="1985"/>
        </w:tabs>
        <w:rPr>
          <w:rFonts w:ascii="Arial" w:eastAsia="Calibri" w:hAnsi="Arial" w:cs="Arial"/>
          <w:b/>
          <w:bCs/>
          <w:sz w:val="24"/>
          <w:szCs w:val="24"/>
          <w:lang w:val="en-GB"/>
        </w:rPr>
      </w:pPr>
      <w:r w:rsidRPr="00BC54B6">
        <w:rPr>
          <w:rFonts w:ascii="Arial" w:eastAsia="Calibri" w:hAnsi="Arial" w:cs="Arial"/>
          <w:b/>
          <w:bCs/>
          <w:sz w:val="24"/>
          <w:szCs w:val="24"/>
          <w:lang w:val="en-GB"/>
        </w:rPr>
        <w:t>Document for:</w:t>
      </w:r>
      <w:r w:rsidRPr="00BC54B6">
        <w:rPr>
          <w:rFonts w:ascii="Arial" w:eastAsia="Calibri" w:hAnsi="Arial" w:cs="Arial"/>
          <w:b/>
          <w:bCs/>
          <w:sz w:val="24"/>
          <w:szCs w:val="24"/>
          <w:lang w:val="en-GB"/>
        </w:rPr>
        <w:tab/>
      </w:r>
      <w:r w:rsidR="004D2245" w:rsidRPr="00BC54B6">
        <w:rPr>
          <w:rFonts w:ascii="Arial" w:eastAsia="Calibri" w:hAnsi="Arial" w:cs="Arial"/>
          <w:b/>
          <w:bCs/>
          <w:sz w:val="24"/>
          <w:szCs w:val="24"/>
          <w:lang w:val="en-GB"/>
        </w:rPr>
        <w:t xml:space="preserve">Discussion </w:t>
      </w:r>
    </w:p>
    <w:p w14:paraId="07144160" w14:textId="77777777" w:rsidR="00D66188" w:rsidRPr="00922B76" w:rsidRDefault="00D66188" w:rsidP="00841BCD">
      <w:pPr>
        <w:tabs>
          <w:tab w:val="left" w:pos="1985"/>
        </w:tabs>
        <w:rPr>
          <w:rFonts w:ascii="Arial" w:eastAsia="Calibri" w:hAnsi="Arial" w:cs="Arial"/>
          <w:b/>
          <w:bCs/>
          <w:szCs w:val="20"/>
          <w:lang w:val="en-GB"/>
        </w:rPr>
      </w:pPr>
    </w:p>
    <w:p w14:paraId="7B15C003" w14:textId="77777777" w:rsidR="00841BCD" w:rsidRPr="00922B76" w:rsidRDefault="00841BCD" w:rsidP="00922B76">
      <w:pPr>
        <w:pStyle w:val="RAN4H1"/>
      </w:pPr>
      <w:r w:rsidRPr="00922B76">
        <w:t>Intro</w:t>
      </w:r>
      <w:r w:rsidRPr="00922B76">
        <w:rPr>
          <w:rStyle w:val="RAN4H1Char"/>
        </w:rPr>
        <w:t>ductio</w:t>
      </w:r>
      <w:r w:rsidRPr="00922B76">
        <w:t>n</w:t>
      </w:r>
    </w:p>
    <w:p w14:paraId="061B52F5" w14:textId="3306CB2E" w:rsidR="001609C2" w:rsidRDefault="00D71ADA" w:rsidP="00416C69">
      <w:pPr>
        <w:jc w:val="both"/>
        <w:rPr>
          <w:szCs w:val="20"/>
          <w:lang w:val="en-GB"/>
        </w:rPr>
      </w:pPr>
      <w:r w:rsidRPr="00922B76">
        <w:rPr>
          <w:szCs w:val="20"/>
          <w:lang w:val="en-GB"/>
        </w:rPr>
        <w:t xml:space="preserve">The RedCap WID </w:t>
      </w:r>
      <w:r w:rsidRPr="00922B76">
        <w:rPr>
          <w:szCs w:val="20"/>
          <w:lang w:val="en-GB"/>
        </w:rPr>
        <w:fldChar w:fldCharType="begin"/>
      </w:r>
      <w:r w:rsidRPr="00922B76">
        <w:rPr>
          <w:szCs w:val="20"/>
          <w:lang w:val="en-GB"/>
        </w:rPr>
        <w:instrText xml:space="preserve"> REF _Ref90882663 \r \h </w:instrText>
      </w:r>
      <w:r w:rsidR="00416C69" w:rsidRPr="00922B76">
        <w:rPr>
          <w:szCs w:val="20"/>
          <w:lang w:val="en-GB"/>
        </w:rPr>
        <w:instrText xml:space="preserve"> \* MERGEFORMAT </w:instrText>
      </w:r>
      <w:r w:rsidRPr="00922B76">
        <w:rPr>
          <w:szCs w:val="20"/>
          <w:lang w:val="en-GB"/>
        </w:rPr>
      </w:r>
      <w:r w:rsidRPr="00922B76">
        <w:rPr>
          <w:szCs w:val="20"/>
          <w:lang w:val="en-GB"/>
        </w:rPr>
        <w:fldChar w:fldCharType="separate"/>
      </w:r>
      <w:r w:rsidRPr="00922B76">
        <w:rPr>
          <w:szCs w:val="20"/>
          <w:lang w:val="en-GB"/>
        </w:rPr>
        <w:t>[1]</w:t>
      </w:r>
      <w:r w:rsidRPr="00922B76">
        <w:rPr>
          <w:szCs w:val="20"/>
          <w:lang w:val="en-GB"/>
        </w:rPr>
        <w:fldChar w:fldCharType="end"/>
      </w:r>
      <w:r w:rsidRPr="00922B76">
        <w:rPr>
          <w:szCs w:val="20"/>
          <w:lang w:val="en-GB"/>
        </w:rPr>
        <w:t xml:space="preserve"> defines among its objectives the specification of support for UEs with reduced maximum UE bandwidth and reduced minimum number of Rx branches, which impacts on the UE performance. Since these assumptions </w:t>
      </w:r>
      <w:r w:rsidR="005B6B56" w:rsidRPr="00922B76">
        <w:rPr>
          <w:szCs w:val="20"/>
          <w:lang w:val="en-GB"/>
        </w:rPr>
        <w:t xml:space="preserve">are different from the ones </w:t>
      </w:r>
      <w:r w:rsidRPr="00922B76">
        <w:rPr>
          <w:szCs w:val="20"/>
          <w:lang w:val="en-GB"/>
        </w:rPr>
        <w:t xml:space="preserve">used on the definition of the RRM requirements for NR UEs, RAN4 is </w:t>
      </w:r>
      <w:r w:rsidR="00463E28" w:rsidRPr="00922B76">
        <w:rPr>
          <w:szCs w:val="20"/>
          <w:lang w:val="en-GB"/>
        </w:rPr>
        <w:t xml:space="preserve">currently </w:t>
      </w:r>
      <w:r w:rsidRPr="00922B76">
        <w:rPr>
          <w:szCs w:val="20"/>
          <w:lang w:val="en-GB"/>
        </w:rPr>
        <w:t xml:space="preserve">working on defining requirements for RedCap </w:t>
      </w:r>
      <w:r w:rsidR="00463E28" w:rsidRPr="00922B76">
        <w:rPr>
          <w:szCs w:val="20"/>
          <w:lang w:val="en-GB"/>
        </w:rPr>
        <w:t>UEs</w:t>
      </w:r>
      <w:r w:rsidR="00922B76" w:rsidRPr="00922B76">
        <w:rPr>
          <w:szCs w:val="20"/>
          <w:lang w:val="en-GB"/>
        </w:rPr>
        <w:t xml:space="preserve"> with 1Rx</w:t>
      </w:r>
      <w:r w:rsidR="00463E28" w:rsidRPr="00922B76">
        <w:rPr>
          <w:szCs w:val="20"/>
          <w:lang w:val="en-GB"/>
        </w:rPr>
        <w:t>.</w:t>
      </w:r>
    </w:p>
    <w:p w14:paraId="26AD614E" w14:textId="662EDCA1" w:rsidR="00C63A1A" w:rsidRPr="00922B76" w:rsidRDefault="00C63A1A" w:rsidP="00416C69">
      <w:pPr>
        <w:jc w:val="both"/>
        <w:rPr>
          <w:szCs w:val="20"/>
          <w:lang w:val="en-GB"/>
        </w:rPr>
      </w:pPr>
      <w:r>
        <w:rPr>
          <w:szCs w:val="20"/>
          <w:lang w:val="en-GB"/>
        </w:rPr>
        <w:t xml:space="preserve">Furthermore, the mobility requirements might be impacted if handover to RedCap BWP without CD-SSB is allowed. </w:t>
      </w:r>
    </w:p>
    <w:p w14:paraId="06812072" w14:textId="65E85F7D" w:rsidR="003F76FF" w:rsidRDefault="00FC72D5" w:rsidP="005C23A4">
      <w:pPr>
        <w:rPr>
          <w:szCs w:val="20"/>
          <w:lang w:val="en-GB"/>
        </w:rPr>
      </w:pPr>
      <w:r>
        <w:rPr>
          <w:szCs w:val="20"/>
          <w:lang w:val="en-GB"/>
        </w:rPr>
        <w:t>In the last RAN4 meeting, the following was agreed</w:t>
      </w:r>
      <w:r w:rsidR="002B69F1">
        <w:rPr>
          <w:szCs w:val="20"/>
          <w:lang w:val="en-GB"/>
        </w:rPr>
        <w:t xml:space="preserve"> </w:t>
      </w:r>
      <w:r w:rsidR="002B69F1">
        <w:rPr>
          <w:szCs w:val="20"/>
          <w:lang w:val="en-GB"/>
        </w:rPr>
        <w:fldChar w:fldCharType="begin"/>
      </w:r>
      <w:r w:rsidR="002B69F1">
        <w:rPr>
          <w:szCs w:val="20"/>
          <w:lang w:val="en-GB"/>
        </w:rPr>
        <w:instrText xml:space="preserve"> REF _Ref99442700 \r \h </w:instrText>
      </w:r>
      <w:r w:rsidR="002B69F1">
        <w:rPr>
          <w:szCs w:val="20"/>
          <w:lang w:val="en-GB"/>
        </w:rPr>
      </w:r>
      <w:r w:rsidR="002B69F1">
        <w:rPr>
          <w:szCs w:val="20"/>
          <w:lang w:val="en-GB"/>
        </w:rPr>
        <w:fldChar w:fldCharType="separate"/>
      </w:r>
      <w:r w:rsidR="002B69F1">
        <w:rPr>
          <w:szCs w:val="20"/>
          <w:lang w:val="en-GB"/>
        </w:rPr>
        <w:t>[3]</w:t>
      </w:r>
      <w:r w:rsidR="002B69F1">
        <w:rPr>
          <w:szCs w:val="20"/>
          <w:lang w:val="en-GB"/>
        </w:rPr>
        <w:fldChar w:fldCharType="end"/>
      </w:r>
      <w:r>
        <w:rPr>
          <w:szCs w:val="20"/>
          <w:lang w:val="en-GB"/>
        </w:rPr>
        <w:t xml:space="preserve">: </w:t>
      </w:r>
    </w:p>
    <w:tbl>
      <w:tblPr>
        <w:tblStyle w:val="TableGrid"/>
        <w:tblW w:w="0" w:type="auto"/>
        <w:tblLook w:val="04A0" w:firstRow="1" w:lastRow="0" w:firstColumn="1" w:lastColumn="0" w:noHBand="0" w:noVBand="1"/>
      </w:tblPr>
      <w:tblGrid>
        <w:gridCol w:w="9617"/>
      </w:tblGrid>
      <w:tr w:rsidR="00FC72D5" w14:paraId="78677A19" w14:textId="77777777" w:rsidTr="00FC72D5">
        <w:trPr>
          <w:hidden/>
        </w:trPr>
        <w:tc>
          <w:tcPr>
            <w:tcW w:w="9617" w:type="dxa"/>
          </w:tcPr>
          <w:p w14:paraId="2A049F30" w14:textId="77777777" w:rsidR="00FC72D5" w:rsidRPr="00FC72D5" w:rsidRDefault="00FC72D5" w:rsidP="00FC72D5">
            <w:pPr>
              <w:pStyle w:val="ListParagraph"/>
              <w:numPr>
                <w:ilvl w:val="0"/>
                <w:numId w:val="8"/>
              </w:numPr>
              <w:contextualSpacing w:val="0"/>
              <w:rPr>
                <w:vanish/>
                <w:szCs w:val="20"/>
                <w:lang w:val="sv-SE"/>
              </w:rPr>
            </w:pPr>
          </w:p>
          <w:p w14:paraId="6EE09B2F" w14:textId="77777777" w:rsidR="00FC72D5" w:rsidRPr="00FC72D5" w:rsidRDefault="00FC72D5" w:rsidP="00FC72D5">
            <w:pPr>
              <w:pStyle w:val="ListParagraph"/>
              <w:numPr>
                <w:ilvl w:val="0"/>
                <w:numId w:val="8"/>
              </w:numPr>
              <w:contextualSpacing w:val="0"/>
              <w:rPr>
                <w:vanish/>
                <w:szCs w:val="20"/>
                <w:lang w:val="sv-SE"/>
              </w:rPr>
            </w:pPr>
          </w:p>
          <w:p w14:paraId="636DBF68" w14:textId="0E5BB2A2" w:rsidR="00FC72D5" w:rsidRPr="00FC72D5" w:rsidRDefault="00FC72D5" w:rsidP="00FC72D5">
            <w:pPr>
              <w:numPr>
                <w:ilvl w:val="1"/>
                <w:numId w:val="8"/>
              </w:numPr>
              <w:rPr>
                <w:szCs w:val="20"/>
                <w:lang w:val="sv-SE"/>
              </w:rPr>
            </w:pPr>
            <w:r w:rsidRPr="00FC72D5">
              <w:rPr>
                <w:szCs w:val="20"/>
                <w:lang w:val="sv-SE"/>
              </w:rPr>
              <w:t>Sub-topic 2-1 Handover</w:t>
            </w:r>
          </w:p>
          <w:p w14:paraId="0454D2D9" w14:textId="77777777" w:rsidR="00FC72D5" w:rsidRPr="00FC72D5" w:rsidRDefault="00FC72D5" w:rsidP="00FC72D5">
            <w:pPr>
              <w:rPr>
                <w:b/>
                <w:szCs w:val="20"/>
                <w:u w:val="single"/>
                <w:lang w:val="en-GB"/>
              </w:rPr>
            </w:pPr>
            <w:r w:rsidRPr="00FC72D5">
              <w:rPr>
                <w:b/>
                <w:szCs w:val="20"/>
                <w:u w:val="single"/>
                <w:lang w:val="en-GB"/>
              </w:rPr>
              <w:t>Requirements for HD-FDD in HO</w:t>
            </w:r>
          </w:p>
          <w:p w14:paraId="45298F0C" w14:textId="77777777" w:rsidR="00FC72D5" w:rsidRPr="00FC72D5" w:rsidRDefault="00FC72D5" w:rsidP="00FC72D5">
            <w:pPr>
              <w:numPr>
                <w:ilvl w:val="1"/>
                <w:numId w:val="15"/>
              </w:numPr>
              <w:rPr>
                <w:szCs w:val="20"/>
                <w:lang w:val="en-GB"/>
              </w:rPr>
            </w:pPr>
            <w:r w:rsidRPr="00FC72D5">
              <w:rPr>
                <w:szCs w:val="20"/>
                <w:lang w:val="en-GB"/>
              </w:rPr>
              <w:t>The UE shall meet HO requirements provided the following is met:</w:t>
            </w:r>
          </w:p>
          <w:p w14:paraId="66618C62" w14:textId="77777777" w:rsidR="00FC72D5" w:rsidRPr="00FC72D5" w:rsidRDefault="00FC72D5" w:rsidP="00FC72D5">
            <w:pPr>
              <w:numPr>
                <w:ilvl w:val="2"/>
                <w:numId w:val="16"/>
              </w:numPr>
              <w:rPr>
                <w:bCs/>
                <w:szCs w:val="20"/>
                <w:lang w:val="en-GB"/>
              </w:rPr>
            </w:pPr>
            <w:r w:rsidRPr="00FC72D5">
              <w:rPr>
                <w:szCs w:val="20"/>
                <w:lang w:val="en-GB"/>
              </w:rPr>
              <w:t>SSB is available at the UE once every SMTC period during Tsearch.</w:t>
            </w:r>
          </w:p>
          <w:p w14:paraId="47538150" w14:textId="77777777" w:rsidR="00FC72D5" w:rsidRPr="00FC72D5" w:rsidRDefault="00FC72D5" w:rsidP="00FC72D5">
            <w:pPr>
              <w:numPr>
                <w:ilvl w:val="2"/>
                <w:numId w:val="16"/>
              </w:numPr>
              <w:rPr>
                <w:bCs/>
                <w:szCs w:val="20"/>
                <w:lang w:val="en-GB"/>
              </w:rPr>
            </w:pPr>
            <w:r w:rsidRPr="00FC72D5">
              <w:rPr>
                <w:szCs w:val="20"/>
                <w:lang w:val="en-GB"/>
              </w:rPr>
              <w:t>One SSB is available during T</w:t>
            </w:r>
            <w:r w:rsidRPr="00FC72D5">
              <w:rPr>
                <w:szCs w:val="20"/>
                <w:vertAlign w:val="subscript"/>
                <w:lang w:val="en-GB"/>
              </w:rPr>
              <w:t>∆</w:t>
            </w:r>
          </w:p>
          <w:p w14:paraId="6994C19C" w14:textId="77777777" w:rsidR="00FC72D5" w:rsidRPr="00FC72D5" w:rsidRDefault="00FC72D5" w:rsidP="00FC72D5">
            <w:pPr>
              <w:numPr>
                <w:ilvl w:val="2"/>
                <w:numId w:val="16"/>
              </w:numPr>
              <w:rPr>
                <w:bCs/>
                <w:szCs w:val="20"/>
                <w:lang w:val="en-GB"/>
              </w:rPr>
            </w:pPr>
            <w:r w:rsidRPr="00FC72D5">
              <w:rPr>
                <w:szCs w:val="20"/>
                <w:lang w:val="en-GB"/>
              </w:rPr>
              <w:t>One SSB is available during Tiu</w:t>
            </w:r>
          </w:p>
          <w:p w14:paraId="0AD47EED" w14:textId="77777777" w:rsidR="00FC72D5" w:rsidRPr="00FC72D5" w:rsidRDefault="00FC72D5" w:rsidP="00FC72D5">
            <w:pPr>
              <w:numPr>
                <w:ilvl w:val="2"/>
                <w:numId w:val="16"/>
              </w:numPr>
              <w:rPr>
                <w:bCs/>
                <w:szCs w:val="20"/>
                <w:lang w:val="en-GB"/>
              </w:rPr>
            </w:pPr>
            <w:r w:rsidRPr="00FC72D5">
              <w:rPr>
                <w:b/>
                <w:bCs/>
                <w:szCs w:val="20"/>
                <w:lang w:val="en-GB"/>
              </w:rPr>
              <w:t xml:space="preserve">Option 2a (ZTE): </w:t>
            </w:r>
            <w:r w:rsidRPr="00FC72D5">
              <w:rPr>
                <w:szCs w:val="20"/>
                <w:lang w:val="en-GB"/>
              </w:rPr>
              <w:t>Any agreement can be captured in the spec in a way that describes the applicability of the requirements, instead of mandating specific UE/NW behavior.</w:t>
            </w:r>
          </w:p>
          <w:p w14:paraId="15160A3D" w14:textId="77777777" w:rsidR="00FC72D5" w:rsidRPr="00FC72D5" w:rsidRDefault="00FC72D5" w:rsidP="00FC72D5">
            <w:pPr>
              <w:rPr>
                <w:szCs w:val="20"/>
                <w:lang w:val="en-GB"/>
              </w:rPr>
            </w:pPr>
          </w:p>
          <w:p w14:paraId="09938C39" w14:textId="77777777" w:rsidR="00FC72D5" w:rsidRPr="00FC72D5" w:rsidRDefault="00FC72D5" w:rsidP="00FC72D5">
            <w:pPr>
              <w:numPr>
                <w:ilvl w:val="1"/>
                <w:numId w:val="8"/>
              </w:numPr>
              <w:rPr>
                <w:szCs w:val="20"/>
                <w:lang w:val="sv-SE"/>
              </w:rPr>
            </w:pPr>
            <w:r w:rsidRPr="00FC72D5">
              <w:rPr>
                <w:szCs w:val="20"/>
                <w:lang w:val="sv-SE"/>
              </w:rPr>
              <w:t xml:space="preserve">Sub-topic 2-2 RRC re-establishment </w:t>
            </w:r>
          </w:p>
          <w:p w14:paraId="7C7713CF" w14:textId="77777777" w:rsidR="00FC72D5" w:rsidRPr="00FC72D5" w:rsidRDefault="00FC72D5" w:rsidP="00FC72D5">
            <w:pPr>
              <w:rPr>
                <w:b/>
                <w:szCs w:val="20"/>
                <w:u w:val="single"/>
                <w:lang w:val="en-GB"/>
              </w:rPr>
            </w:pPr>
            <w:r w:rsidRPr="00FC72D5">
              <w:rPr>
                <w:b/>
                <w:szCs w:val="20"/>
                <w:u w:val="single"/>
                <w:lang w:val="en-GB"/>
              </w:rPr>
              <w:t>Lower bound in Max function in reestablishment delay</w:t>
            </w:r>
          </w:p>
          <w:p w14:paraId="7F3FF9BC" w14:textId="77777777" w:rsidR="00FC72D5" w:rsidRPr="00FC72D5" w:rsidRDefault="00FC72D5" w:rsidP="00FC72D5">
            <w:pPr>
              <w:rPr>
                <w:szCs w:val="20"/>
                <w:lang w:val="en-GB"/>
              </w:rPr>
            </w:pPr>
            <w:r w:rsidRPr="00FC72D5">
              <w:rPr>
                <w:szCs w:val="20"/>
                <w:lang w:val="en-GB"/>
              </w:rPr>
              <w:t>The lower boundary in Max function for reestablishment delay requirement shall not be changed for RedCap UE with 1Rx.</w:t>
            </w:r>
          </w:p>
          <w:p w14:paraId="545CA625" w14:textId="77777777" w:rsidR="00FC72D5" w:rsidRPr="00FC72D5" w:rsidRDefault="00FC72D5" w:rsidP="00FC72D5">
            <w:pPr>
              <w:rPr>
                <w:b/>
                <w:szCs w:val="20"/>
                <w:u w:val="single"/>
                <w:lang w:val="en-GB"/>
              </w:rPr>
            </w:pPr>
            <w:r w:rsidRPr="00FC72D5">
              <w:rPr>
                <w:b/>
                <w:szCs w:val="20"/>
                <w:u w:val="single"/>
                <w:lang w:val="en-GB"/>
              </w:rPr>
              <w:t>Impact on T</w:t>
            </w:r>
            <w:r w:rsidRPr="00FC72D5">
              <w:rPr>
                <w:b/>
                <w:szCs w:val="20"/>
                <w:u w:val="single"/>
                <w:vertAlign w:val="subscript"/>
                <w:lang w:val="en-GB"/>
              </w:rPr>
              <w:t>identify</w:t>
            </w:r>
            <w:r w:rsidRPr="00FC72D5">
              <w:rPr>
                <w:b/>
                <w:bCs/>
                <w:i/>
                <w:iCs/>
                <w:szCs w:val="20"/>
                <w:vertAlign w:val="subscript"/>
                <w:lang w:val="en-GB"/>
              </w:rPr>
              <w:t xml:space="preserve"> </w:t>
            </w:r>
            <w:r w:rsidRPr="00FC72D5">
              <w:rPr>
                <w:b/>
                <w:szCs w:val="20"/>
                <w:u w:val="single"/>
                <w:lang w:val="en-GB"/>
              </w:rPr>
              <w:t>(in reestablishment) for 1Rx in FR1</w:t>
            </w:r>
          </w:p>
          <w:p w14:paraId="015EB53C" w14:textId="77777777" w:rsidR="00FC72D5" w:rsidRPr="00FC72D5" w:rsidRDefault="00FC72D5" w:rsidP="00FC72D5">
            <w:pPr>
              <w:rPr>
                <w:szCs w:val="20"/>
                <w:lang w:val="en-GB"/>
              </w:rPr>
            </w:pPr>
            <w:bookmarkStart w:id="3" w:name="_Hlk97056791"/>
            <w:r w:rsidRPr="00FC72D5">
              <w:rPr>
                <w:szCs w:val="20"/>
                <w:lang w:val="en-GB"/>
              </w:rPr>
              <w:t xml:space="preserve">RAN4 to relax the </w:t>
            </w:r>
            <w:r w:rsidRPr="00FC72D5">
              <w:rPr>
                <w:b/>
                <w:szCs w:val="20"/>
                <w:u w:val="single"/>
                <w:lang w:val="en-GB"/>
              </w:rPr>
              <w:t>T</w:t>
            </w:r>
            <w:r w:rsidRPr="00FC72D5">
              <w:rPr>
                <w:b/>
                <w:szCs w:val="20"/>
                <w:u w:val="single"/>
                <w:vertAlign w:val="subscript"/>
                <w:lang w:val="en-GB"/>
              </w:rPr>
              <w:t>identify-</w:t>
            </w:r>
            <w:r w:rsidRPr="00FC72D5">
              <w:rPr>
                <w:szCs w:val="20"/>
                <w:lang w:val="en-GB"/>
              </w:rPr>
              <w:t xml:space="preserve"> for RedCap reestablishment delay requirement with 1Rx by:</w:t>
            </w:r>
          </w:p>
          <w:p w14:paraId="295B5F78" w14:textId="77777777" w:rsidR="00FC72D5" w:rsidRPr="00FC72D5" w:rsidRDefault="00FC72D5" w:rsidP="00FC72D5">
            <w:pPr>
              <w:numPr>
                <w:ilvl w:val="0"/>
                <w:numId w:val="17"/>
              </w:numPr>
              <w:rPr>
                <w:szCs w:val="20"/>
                <w:lang w:val="en-GB"/>
              </w:rPr>
            </w:pPr>
            <w:r w:rsidRPr="00FC72D5">
              <w:rPr>
                <w:szCs w:val="20"/>
                <w:lang w:val="en-GB"/>
              </w:rPr>
              <w:t>1 more sample for unknown target cell (total of 11 x T</w:t>
            </w:r>
            <w:r w:rsidRPr="00FC72D5">
              <w:rPr>
                <w:szCs w:val="20"/>
                <w:vertAlign w:val="subscript"/>
                <w:lang w:val="en-GB"/>
              </w:rPr>
              <w:t>SMTC</w:t>
            </w:r>
            <w:r w:rsidRPr="00FC72D5">
              <w:rPr>
                <w:szCs w:val="20"/>
                <w:lang w:val="en-GB"/>
              </w:rPr>
              <w:t>) for intra-frequency and inter-fre</w:t>
            </w:r>
            <w:bookmarkEnd w:id="3"/>
            <w:r w:rsidRPr="00FC72D5">
              <w:rPr>
                <w:szCs w:val="20"/>
                <w:lang w:val="en-GB"/>
              </w:rPr>
              <w:t xml:space="preserve">quency  </w:t>
            </w:r>
          </w:p>
          <w:p w14:paraId="316A3991" w14:textId="77777777" w:rsidR="00FC72D5" w:rsidRPr="00FC72D5" w:rsidRDefault="00FC72D5" w:rsidP="00FC72D5">
            <w:pPr>
              <w:rPr>
                <w:szCs w:val="20"/>
                <w:lang w:val="en-GB"/>
              </w:rPr>
            </w:pPr>
          </w:p>
          <w:p w14:paraId="532F2CC7" w14:textId="77777777" w:rsidR="00FC72D5" w:rsidRPr="00FC72D5" w:rsidRDefault="00FC72D5" w:rsidP="00FC72D5">
            <w:pPr>
              <w:numPr>
                <w:ilvl w:val="1"/>
                <w:numId w:val="8"/>
              </w:numPr>
              <w:rPr>
                <w:szCs w:val="20"/>
              </w:rPr>
            </w:pPr>
            <w:r w:rsidRPr="00FC72D5">
              <w:rPr>
                <w:szCs w:val="20"/>
              </w:rPr>
              <w:t xml:space="preserve">Sub-topic 2-3 RRC Connection release with redirection </w:t>
            </w:r>
          </w:p>
          <w:p w14:paraId="53D5C038" w14:textId="77777777" w:rsidR="00FC72D5" w:rsidRPr="00FC72D5" w:rsidRDefault="00FC72D5" w:rsidP="00FC72D5">
            <w:pPr>
              <w:rPr>
                <w:b/>
                <w:szCs w:val="20"/>
                <w:u w:val="single"/>
                <w:lang w:val="en-GB"/>
              </w:rPr>
            </w:pPr>
            <w:r w:rsidRPr="00FC72D5">
              <w:rPr>
                <w:b/>
                <w:szCs w:val="20"/>
                <w:u w:val="single"/>
                <w:lang w:val="en-GB"/>
              </w:rPr>
              <w:t>Impact on T</w:t>
            </w:r>
            <w:r w:rsidRPr="00FC72D5">
              <w:rPr>
                <w:b/>
                <w:szCs w:val="20"/>
                <w:u w:val="single"/>
                <w:vertAlign w:val="subscript"/>
                <w:lang w:val="en-GB"/>
              </w:rPr>
              <w:t xml:space="preserve">identify-NR </w:t>
            </w:r>
            <w:r w:rsidRPr="00FC72D5">
              <w:rPr>
                <w:b/>
                <w:szCs w:val="20"/>
                <w:u w:val="single"/>
                <w:lang w:val="en-GB"/>
              </w:rPr>
              <w:t>(in RRC connection release with redirection) for 1Rx in FR1</w:t>
            </w:r>
          </w:p>
          <w:p w14:paraId="4A3C187B" w14:textId="77777777" w:rsidR="00FC72D5" w:rsidRPr="00FC72D5" w:rsidRDefault="00FC72D5" w:rsidP="00FC72D5">
            <w:pPr>
              <w:rPr>
                <w:szCs w:val="20"/>
                <w:lang w:val="en-GB"/>
              </w:rPr>
            </w:pPr>
            <w:r w:rsidRPr="00FC72D5">
              <w:rPr>
                <w:szCs w:val="20"/>
                <w:lang w:val="en-GB"/>
              </w:rPr>
              <w:t>RAN4 to relax the T</w:t>
            </w:r>
            <w:r w:rsidRPr="00FC72D5">
              <w:rPr>
                <w:szCs w:val="20"/>
                <w:vertAlign w:val="subscript"/>
                <w:lang w:val="en-GB"/>
              </w:rPr>
              <w:t xml:space="preserve">identify-NR  </w:t>
            </w:r>
            <w:r w:rsidRPr="00FC72D5">
              <w:rPr>
                <w:szCs w:val="20"/>
                <w:lang w:val="en-GB"/>
              </w:rPr>
              <w:t>for RedCap RRC redirection delay requirement with 1Rx by 1 more sample.</w:t>
            </w:r>
          </w:p>
          <w:p w14:paraId="7E841559" w14:textId="77777777" w:rsidR="00FC72D5" w:rsidRPr="00FC72D5" w:rsidRDefault="00FC72D5" w:rsidP="00FC72D5">
            <w:pPr>
              <w:rPr>
                <w:szCs w:val="20"/>
                <w:lang w:val="en-GB"/>
              </w:rPr>
            </w:pPr>
          </w:p>
          <w:p w14:paraId="2C340267" w14:textId="77777777" w:rsidR="00FC72D5" w:rsidRPr="00FC72D5" w:rsidRDefault="00FC72D5" w:rsidP="00FC72D5">
            <w:pPr>
              <w:numPr>
                <w:ilvl w:val="1"/>
                <w:numId w:val="8"/>
              </w:numPr>
              <w:rPr>
                <w:szCs w:val="20"/>
                <w:lang w:val="sv-SE"/>
              </w:rPr>
            </w:pPr>
            <w:r w:rsidRPr="00FC72D5">
              <w:rPr>
                <w:szCs w:val="20"/>
                <w:lang w:val="sv-SE"/>
              </w:rPr>
              <w:t xml:space="preserve">Sub-topic 2-4 Random access </w:t>
            </w:r>
          </w:p>
          <w:p w14:paraId="624CE1B0" w14:textId="77777777" w:rsidR="00FC72D5" w:rsidRPr="00FC72D5" w:rsidRDefault="00FC72D5" w:rsidP="00FC72D5">
            <w:pPr>
              <w:rPr>
                <w:szCs w:val="20"/>
              </w:rPr>
            </w:pPr>
            <w:r w:rsidRPr="00FC72D5">
              <w:rPr>
                <w:b/>
                <w:szCs w:val="20"/>
                <w:u w:val="single"/>
                <w:lang w:val="en-GB"/>
              </w:rPr>
              <w:t>RA requirements for HD-FDD</w:t>
            </w:r>
          </w:p>
          <w:p w14:paraId="3A7B0696" w14:textId="77777777" w:rsidR="00FC72D5" w:rsidRPr="00FC72D5" w:rsidRDefault="00FC72D5" w:rsidP="00FC72D5">
            <w:pPr>
              <w:rPr>
                <w:bCs/>
                <w:szCs w:val="20"/>
                <w:lang w:val="en-GB"/>
              </w:rPr>
            </w:pPr>
            <w:r w:rsidRPr="00FC72D5">
              <w:rPr>
                <w:bCs/>
                <w:szCs w:val="20"/>
                <w:lang w:val="en-GB"/>
              </w:rPr>
              <w:t xml:space="preserve">Following applies to CBRA: </w:t>
            </w:r>
          </w:p>
          <w:p w14:paraId="1CB886AE" w14:textId="77777777" w:rsidR="00FC72D5" w:rsidRPr="00FC72D5" w:rsidRDefault="00FC72D5" w:rsidP="00FC72D5">
            <w:pPr>
              <w:numPr>
                <w:ilvl w:val="2"/>
                <w:numId w:val="15"/>
              </w:numPr>
              <w:rPr>
                <w:bCs/>
                <w:szCs w:val="20"/>
                <w:lang w:val="en-GB"/>
              </w:rPr>
            </w:pPr>
            <w:r w:rsidRPr="00FC72D5">
              <w:rPr>
                <w:bCs/>
                <w:szCs w:val="20"/>
                <w:lang w:val="en-GB"/>
              </w:rPr>
              <w:t xml:space="preserve">The RedCap UE operating in HD-FDD mode </w:t>
            </w:r>
            <w:r w:rsidRPr="00FC72D5">
              <w:rPr>
                <w:bCs/>
                <w:szCs w:val="20"/>
              </w:rPr>
              <w:t>is not expected to perform PRACH transmission on a PRACH resource of a cell if UE has not received at least one SSB associated with that PRACH resource during the last Tp period in the cell, where</w:t>
            </w:r>
          </w:p>
          <w:p w14:paraId="6E13810C" w14:textId="77777777" w:rsidR="00FC72D5" w:rsidRPr="00FC72D5" w:rsidRDefault="00FC72D5" w:rsidP="00FC72D5">
            <w:pPr>
              <w:numPr>
                <w:ilvl w:val="3"/>
                <w:numId w:val="15"/>
              </w:numPr>
              <w:rPr>
                <w:bCs/>
                <w:szCs w:val="20"/>
                <w:lang w:val="en-GB"/>
              </w:rPr>
            </w:pPr>
            <w:r w:rsidRPr="00FC72D5">
              <w:rPr>
                <w:bCs/>
                <w:szCs w:val="20"/>
                <w:lang w:val="en-GB"/>
              </w:rPr>
              <w:t>Option 1: T</w:t>
            </w:r>
            <w:r w:rsidRPr="00FC72D5">
              <w:rPr>
                <w:bCs/>
                <w:szCs w:val="20"/>
              </w:rPr>
              <w:t>p</w:t>
            </w:r>
            <w:r w:rsidRPr="00FC72D5">
              <w:rPr>
                <w:bCs/>
                <w:szCs w:val="20"/>
                <w:lang w:val="en-GB"/>
              </w:rPr>
              <w:t>=</w:t>
            </w:r>
            <w:r w:rsidRPr="00FC72D5">
              <w:rPr>
                <w:szCs w:val="20"/>
                <w:lang w:val="en-GB"/>
              </w:rPr>
              <w:t>160 ms</w:t>
            </w:r>
            <w:r w:rsidRPr="00FC72D5">
              <w:rPr>
                <w:bCs/>
                <w:szCs w:val="20"/>
                <w:lang w:val="en-GB"/>
              </w:rPr>
              <w:t>.</w:t>
            </w:r>
          </w:p>
          <w:p w14:paraId="7D4AA044" w14:textId="77777777" w:rsidR="00FC72D5" w:rsidRPr="00FC72D5" w:rsidRDefault="00FC72D5" w:rsidP="00FC72D5">
            <w:pPr>
              <w:numPr>
                <w:ilvl w:val="2"/>
                <w:numId w:val="15"/>
              </w:numPr>
              <w:rPr>
                <w:bCs/>
                <w:szCs w:val="20"/>
                <w:lang w:val="en-GB"/>
              </w:rPr>
            </w:pPr>
            <w:r w:rsidRPr="00FC72D5">
              <w:rPr>
                <w:bCs/>
                <w:szCs w:val="20"/>
                <w:lang w:val="en-GB"/>
              </w:rPr>
              <w:t xml:space="preserve">The RedCap UE operating in HD-FDD mode </w:t>
            </w:r>
            <w:r w:rsidRPr="00FC72D5">
              <w:rPr>
                <w:bCs/>
                <w:szCs w:val="20"/>
              </w:rPr>
              <w:t>shall meet the PRACH requirements when performing PRACH transmission on a PRACH resource of a cell provided that the UE has received at least one SSB associated with that PRACH resource during the last Tp period before the PRACH transmission, where</w:t>
            </w:r>
          </w:p>
          <w:p w14:paraId="32F35B19" w14:textId="77777777" w:rsidR="00FC72D5" w:rsidRPr="00FC72D5" w:rsidRDefault="00FC72D5" w:rsidP="00FC72D5">
            <w:pPr>
              <w:numPr>
                <w:ilvl w:val="3"/>
                <w:numId w:val="15"/>
              </w:numPr>
              <w:rPr>
                <w:bCs/>
                <w:szCs w:val="20"/>
                <w:lang w:val="en-GB"/>
              </w:rPr>
            </w:pPr>
            <w:r w:rsidRPr="00FC72D5">
              <w:rPr>
                <w:bCs/>
                <w:szCs w:val="20"/>
                <w:lang w:val="en-GB"/>
              </w:rPr>
              <w:t>Option 1: T</w:t>
            </w:r>
            <w:r w:rsidRPr="00FC72D5">
              <w:rPr>
                <w:bCs/>
                <w:szCs w:val="20"/>
                <w:lang w:val="sv-SE"/>
              </w:rPr>
              <w:t>p</w:t>
            </w:r>
            <w:r w:rsidRPr="00FC72D5">
              <w:rPr>
                <w:bCs/>
                <w:szCs w:val="20"/>
                <w:lang w:val="en-GB"/>
              </w:rPr>
              <w:t>=</w:t>
            </w:r>
            <w:r w:rsidRPr="00FC72D5">
              <w:rPr>
                <w:szCs w:val="20"/>
                <w:lang w:val="en-GB"/>
              </w:rPr>
              <w:t>160 ms</w:t>
            </w:r>
          </w:p>
          <w:p w14:paraId="3CFA9471" w14:textId="77777777" w:rsidR="00FC72D5" w:rsidRPr="00FC72D5" w:rsidRDefault="00FC72D5" w:rsidP="00FC72D5">
            <w:pPr>
              <w:rPr>
                <w:szCs w:val="20"/>
                <w:lang w:val="en-GB"/>
              </w:rPr>
            </w:pPr>
            <w:r w:rsidRPr="00FC72D5">
              <w:rPr>
                <w:b/>
                <w:szCs w:val="20"/>
                <w:u w:val="single"/>
                <w:lang w:val="en-GB"/>
              </w:rPr>
              <w:t>Offset to apply for 1 Rx UE</w:t>
            </w:r>
          </w:p>
          <w:p w14:paraId="741D7C07" w14:textId="77777777" w:rsidR="00FC72D5" w:rsidRPr="00FC72D5" w:rsidRDefault="00FC72D5" w:rsidP="00FC72D5">
            <w:pPr>
              <w:rPr>
                <w:szCs w:val="20"/>
              </w:rPr>
            </w:pPr>
            <w:r w:rsidRPr="00FC72D5">
              <w:rPr>
                <w:szCs w:val="20"/>
              </w:rPr>
              <w:t xml:space="preserve">Network configures one RSRP/RSRQ threshold for 2 Rx RedCap UE (same as for legacy 2 Rx UE), and 1 Rx RedCap UE applies an offset to that threshold.  The offset is predefined in the specification.  </w:t>
            </w:r>
          </w:p>
          <w:p w14:paraId="2A2C159A" w14:textId="77777777" w:rsidR="00FC72D5" w:rsidRPr="00FC72D5" w:rsidRDefault="00FC72D5" w:rsidP="00FC72D5">
            <w:pPr>
              <w:rPr>
                <w:b/>
                <w:szCs w:val="20"/>
                <w:u w:val="single"/>
                <w:lang w:val="en-GB"/>
              </w:rPr>
            </w:pPr>
            <w:r w:rsidRPr="00FC72D5">
              <w:rPr>
                <w:b/>
                <w:szCs w:val="20"/>
                <w:u w:val="single"/>
                <w:lang w:val="en-GB"/>
              </w:rPr>
              <w:lastRenderedPageBreak/>
              <w:t>Impact due to early identification in RA</w:t>
            </w:r>
          </w:p>
          <w:p w14:paraId="78456E90" w14:textId="77777777" w:rsidR="00FC72D5" w:rsidRPr="00FC72D5" w:rsidRDefault="00FC72D5" w:rsidP="00FC72D5">
            <w:pPr>
              <w:rPr>
                <w:szCs w:val="20"/>
                <w:lang w:val="en-GB"/>
              </w:rPr>
            </w:pPr>
            <w:r w:rsidRPr="00FC72D5">
              <w:rPr>
                <w:szCs w:val="20"/>
                <w:lang w:val="en-GB"/>
              </w:rPr>
              <w:t>Early identification doesn’t impact RA requirements for RedCap UE.</w:t>
            </w:r>
          </w:p>
          <w:p w14:paraId="035BEB88" w14:textId="77777777" w:rsidR="00FC72D5" w:rsidRDefault="00FC72D5" w:rsidP="005C23A4">
            <w:pPr>
              <w:rPr>
                <w:szCs w:val="20"/>
                <w:lang w:val="en-GB"/>
              </w:rPr>
            </w:pPr>
          </w:p>
        </w:tc>
      </w:tr>
    </w:tbl>
    <w:p w14:paraId="189ACFF6" w14:textId="391556B3" w:rsidR="00FC72D5" w:rsidRDefault="00FC72D5" w:rsidP="005C23A4">
      <w:pPr>
        <w:rPr>
          <w:szCs w:val="20"/>
          <w:lang w:val="en-GB"/>
        </w:rPr>
      </w:pPr>
    </w:p>
    <w:p w14:paraId="02ABE51A" w14:textId="61D196AD" w:rsidR="00FC72D5" w:rsidRDefault="00FC72D5" w:rsidP="005C23A4">
      <w:pPr>
        <w:rPr>
          <w:szCs w:val="20"/>
          <w:lang w:val="en-GB"/>
        </w:rPr>
      </w:pPr>
      <w:r>
        <w:rPr>
          <w:szCs w:val="20"/>
          <w:lang w:val="en-GB"/>
        </w:rPr>
        <w:t>Despite the good progress in the last 3 RAN4 meetings, the following items are still open:</w:t>
      </w:r>
    </w:p>
    <w:tbl>
      <w:tblPr>
        <w:tblStyle w:val="TableGrid"/>
        <w:tblW w:w="0" w:type="auto"/>
        <w:tblLook w:val="04A0" w:firstRow="1" w:lastRow="0" w:firstColumn="1" w:lastColumn="0" w:noHBand="0" w:noVBand="1"/>
      </w:tblPr>
      <w:tblGrid>
        <w:gridCol w:w="9617"/>
      </w:tblGrid>
      <w:tr w:rsidR="005617DB" w14:paraId="743241B3" w14:textId="77777777" w:rsidTr="005617DB">
        <w:tc>
          <w:tcPr>
            <w:tcW w:w="9617" w:type="dxa"/>
          </w:tcPr>
          <w:p w14:paraId="5374499B" w14:textId="77777777" w:rsidR="005617DB" w:rsidRDefault="005617DB" w:rsidP="005617DB">
            <w:pPr>
              <w:rPr>
                <w:b/>
                <w:color w:val="000000" w:themeColor="text1"/>
                <w:u w:val="single"/>
                <w:lang w:eastAsia="ko-KR"/>
              </w:rPr>
            </w:pPr>
            <w:r>
              <w:rPr>
                <w:b/>
                <w:color w:val="000000" w:themeColor="text1"/>
                <w:u w:val="single"/>
                <w:lang w:eastAsia="ko-KR"/>
              </w:rPr>
              <w:t>Impact on T</w:t>
            </w:r>
            <w:r>
              <w:rPr>
                <w:b/>
                <w:color w:val="000000" w:themeColor="text1"/>
                <w:u w:val="single"/>
                <w:vertAlign w:val="subscript"/>
                <w:lang w:eastAsia="ko-KR"/>
              </w:rPr>
              <w:t>search</w:t>
            </w:r>
            <w:r>
              <w:rPr>
                <w:b/>
                <w:color w:val="000000" w:themeColor="text1"/>
                <w:u w:val="single"/>
                <w:lang w:eastAsia="ko-KR"/>
              </w:rPr>
              <w:t xml:space="preserve"> (in HO) for 1Rx for FR1</w:t>
            </w:r>
          </w:p>
          <w:p w14:paraId="2F388F8F" w14:textId="77777777" w:rsidR="005617DB" w:rsidRDefault="005617DB" w:rsidP="005617DB">
            <w:pPr>
              <w:pStyle w:val="ListParagraph"/>
              <w:numPr>
                <w:ilvl w:val="1"/>
                <w:numId w:val="15"/>
              </w:numPr>
              <w:autoSpaceDN w:val="0"/>
              <w:spacing w:after="120" w:line="256" w:lineRule="auto"/>
              <w:ind w:left="1440"/>
              <w:contextualSpacing w:val="0"/>
              <w:rPr>
                <w:b/>
                <w:bCs/>
              </w:rPr>
            </w:pPr>
            <w:r>
              <w:rPr>
                <w:b/>
                <w:bCs/>
              </w:rPr>
              <w:t xml:space="preserve">Option 2 (HW, QC): </w:t>
            </w:r>
          </w:p>
          <w:p w14:paraId="27E82908" w14:textId="77777777" w:rsidR="005617DB" w:rsidRDefault="005617DB" w:rsidP="005617DB">
            <w:pPr>
              <w:pStyle w:val="ListParagraph"/>
              <w:numPr>
                <w:ilvl w:val="3"/>
                <w:numId w:val="15"/>
              </w:numPr>
              <w:autoSpaceDN w:val="0"/>
              <w:spacing w:after="120" w:line="256" w:lineRule="auto"/>
              <w:contextualSpacing w:val="0"/>
            </w:pPr>
            <w:r>
              <w:t>For HO to FR1, T</w:t>
            </w:r>
            <w:r>
              <w:rPr>
                <w:vertAlign w:val="subscript"/>
              </w:rPr>
              <w:t xml:space="preserve">search </w:t>
            </w:r>
            <w:r>
              <w:t>= 3*T</w:t>
            </w:r>
            <w:r>
              <w:rPr>
                <w:vertAlign w:val="subscript"/>
              </w:rPr>
              <w:t>rs</w:t>
            </w:r>
            <w:r>
              <w:t xml:space="preserve"> for intra-frequency HO and T</w:t>
            </w:r>
            <w:r>
              <w:rPr>
                <w:vertAlign w:val="subscript"/>
              </w:rPr>
              <w:t>search</w:t>
            </w:r>
            <w:r>
              <w:t xml:space="preserve"> = 5* T</w:t>
            </w:r>
            <w:r>
              <w:rPr>
                <w:vertAlign w:val="subscript"/>
              </w:rPr>
              <w:t>rs</w:t>
            </w:r>
            <w:r>
              <w:t xml:space="preserve"> for inter-frequency HO</w:t>
            </w:r>
          </w:p>
          <w:p w14:paraId="107AE7B5" w14:textId="77777777" w:rsidR="005617DB" w:rsidRDefault="005617DB" w:rsidP="005617DB">
            <w:pPr>
              <w:pStyle w:val="ListParagraph"/>
              <w:numPr>
                <w:ilvl w:val="1"/>
                <w:numId w:val="15"/>
              </w:numPr>
              <w:autoSpaceDN w:val="0"/>
              <w:spacing w:after="120" w:line="256" w:lineRule="auto"/>
              <w:ind w:left="1440"/>
              <w:contextualSpacing w:val="0"/>
              <w:rPr>
                <w:b/>
                <w:bCs/>
                <w:color w:val="000000" w:themeColor="text1"/>
              </w:rPr>
            </w:pPr>
            <w:r>
              <w:rPr>
                <w:b/>
                <w:bCs/>
                <w:color w:val="000000" w:themeColor="text1"/>
              </w:rPr>
              <w:t>Compromise option from moderator (E///, Apple, MTK, Nokia, vivo):</w:t>
            </w:r>
          </w:p>
          <w:p w14:paraId="5617CF63" w14:textId="77777777" w:rsidR="005617DB" w:rsidRDefault="005617DB" w:rsidP="005617DB">
            <w:pPr>
              <w:pStyle w:val="ListParagraph"/>
              <w:numPr>
                <w:ilvl w:val="2"/>
                <w:numId w:val="15"/>
              </w:numPr>
              <w:autoSpaceDN w:val="0"/>
              <w:spacing w:after="120" w:line="256" w:lineRule="auto"/>
              <w:contextualSpacing w:val="0"/>
              <w:rPr>
                <w:rFonts w:eastAsia="SimSun"/>
                <w:color w:val="000000" w:themeColor="text1"/>
                <w:szCs w:val="24"/>
                <w:lang w:eastAsia="zh-CN"/>
              </w:rPr>
            </w:pPr>
            <w:r>
              <w:rPr>
                <w:color w:val="000000" w:themeColor="text1"/>
              </w:rPr>
              <w:t xml:space="preserve">For HO to FR1, </w:t>
            </w:r>
          </w:p>
          <w:p w14:paraId="6A7BF17D" w14:textId="77777777" w:rsidR="005617DB" w:rsidRDefault="005617DB" w:rsidP="005617DB">
            <w:pPr>
              <w:pStyle w:val="ListParagraph"/>
              <w:numPr>
                <w:ilvl w:val="3"/>
                <w:numId w:val="15"/>
              </w:numPr>
              <w:autoSpaceDN w:val="0"/>
              <w:spacing w:after="120" w:line="256" w:lineRule="auto"/>
              <w:contextualSpacing w:val="0"/>
              <w:rPr>
                <w:rFonts w:eastAsia="SimSun"/>
                <w:color w:val="000000" w:themeColor="text1"/>
                <w:szCs w:val="24"/>
                <w:lang w:eastAsia="zh-CN"/>
              </w:rPr>
            </w:pPr>
            <w:r>
              <w:rPr>
                <w:color w:val="000000" w:themeColor="text1"/>
              </w:rPr>
              <w:t>T</w:t>
            </w:r>
            <w:r>
              <w:rPr>
                <w:color w:val="000000" w:themeColor="text1"/>
                <w:vertAlign w:val="subscript"/>
              </w:rPr>
              <w:t xml:space="preserve">search </w:t>
            </w:r>
            <w:r>
              <w:rPr>
                <w:color w:val="000000" w:themeColor="text1"/>
              </w:rPr>
              <w:t>= 2*T</w:t>
            </w:r>
            <w:r>
              <w:rPr>
                <w:color w:val="000000" w:themeColor="text1"/>
                <w:vertAlign w:val="subscript"/>
              </w:rPr>
              <w:t>rs</w:t>
            </w:r>
            <w:r>
              <w:rPr>
                <w:color w:val="000000" w:themeColor="text1"/>
              </w:rPr>
              <w:t xml:space="preserve"> for intra-frequency HO</w:t>
            </w:r>
          </w:p>
          <w:p w14:paraId="2FEC3129" w14:textId="77777777" w:rsidR="005617DB" w:rsidRDefault="005617DB" w:rsidP="005617DB">
            <w:pPr>
              <w:pStyle w:val="ListParagraph"/>
              <w:numPr>
                <w:ilvl w:val="3"/>
                <w:numId w:val="15"/>
              </w:numPr>
              <w:autoSpaceDN w:val="0"/>
              <w:spacing w:after="120" w:line="256" w:lineRule="auto"/>
              <w:contextualSpacing w:val="0"/>
              <w:rPr>
                <w:rFonts w:eastAsia="MS Mincho"/>
                <w:szCs w:val="20"/>
              </w:rPr>
            </w:pPr>
            <w:r>
              <w:t>T</w:t>
            </w:r>
            <w:r>
              <w:rPr>
                <w:vertAlign w:val="subscript"/>
              </w:rPr>
              <w:t>search</w:t>
            </w:r>
            <w:r>
              <w:t xml:space="preserve"> = 5* T</w:t>
            </w:r>
            <w:r>
              <w:rPr>
                <w:vertAlign w:val="subscript"/>
              </w:rPr>
              <w:t>rs</w:t>
            </w:r>
            <w:r>
              <w:t xml:space="preserve"> for inter-frequency HO</w:t>
            </w:r>
          </w:p>
          <w:p w14:paraId="1326C930" w14:textId="77777777" w:rsidR="005617DB" w:rsidRDefault="005617DB" w:rsidP="005617DB">
            <w:pPr>
              <w:rPr>
                <w:lang w:eastAsia="zh-CN"/>
              </w:rPr>
            </w:pPr>
          </w:p>
          <w:p w14:paraId="5201015D" w14:textId="77777777" w:rsidR="005617DB" w:rsidRDefault="005617DB" w:rsidP="005617DB">
            <w:pPr>
              <w:rPr>
                <w:b/>
                <w:u w:val="single"/>
                <w:lang w:eastAsia="ko-KR"/>
              </w:rPr>
            </w:pPr>
            <w:r>
              <w:rPr>
                <w:b/>
                <w:u w:val="single"/>
                <w:lang w:eastAsia="ko-KR"/>
              </w:rPr>
              <w:t>HO to target cell when SSB used for measurement and SSB associated with RACH BWP is different</w:t>
            </w:r>
          </w:p>
          <w:p w14:paraId="0B9E3F34" w14:textId="77777777" w:rsidR="005617DB" w:rsidRDefault="005617DB" w:rsidP="005617DB">
            <w:pPr>
              <w:pStyle w:val="ListParagraph"/>
              <w:numPr>
                <w:ilvl w:val="1"/>
                <w:numId w:val="15"/>
              </w:numPr>
              <w:autoSpaceDN w:val="0"/>
              <w:spacing w:after="120" w:line="256" w:lineRule="auto"/>
              <w:ind w:left="1440"/>
              <w:contextualSpacing w:val="0"/>
            </w:pPr>
            <w:r>
              <w:rPr>
                <w:b/>
                <w:bCs/>
              </w:rPr>
              <w:t>Option 1 (E///):</w:t>
            </w:r>
            <w:r>
              <w:t xml:space="preserve"> </w:t>
            </w:r>
            <w:r>
              <w:rPr>
                <w:rFonts w:eastAsia="Yu Mincho"/>
                <w:bCs/>
                <w:color w:val="000000"/>
                <w:lang w:eastAsia="ko-KR"/>
              </w:rPr>
              <w:t>The UE is not expected to perform HO to the target cell when:</w:t>
            </w:r>
          </w:p>
          <w:p w14:paraId="50EB6F61" w14:textId="77777777" w:rsidR="005617DB" w:rsidRDefault="005617DB" w:rsidP="005617DB">
            <w:pPr>
              <w:pStyle w:val="ListParagraph"/>
              <w:numPr>
                <w:ilvl w:val="2"/>
                <w:numId w:val="15"/>
              </w:numPr>
              <w:autoSpaceDN w:val="0"/>
              <w:spacing w:after="120" w:line="256" w:lineRule="auto"/>
              <w:contextualSpacing w:val="0"/>
            </w:pPr>
            <w:r>
              <w:rPr>
                <w:rFonts w:eastAsia="Yu Mincho"/>
                <w:bCs/>
                <w:color w:val="000000"/>
                <w:lang w:eastAsia="ko-KR"/>
              </w:rPr>
              <w:t>It has done measurement in target cell on SSB which is different than the SSB associated with BWP where RACH is configured and if the separation between initial BWP and Redcap BWPs is larger than 20 MHz for FR1 and 100 MHz for FR2</w:t>
            </w:r>
          </w:p>
          <w:p w14:paraId="731CACA2" w14:textId="77777777" w:rsidR="005617DB" w:rsidRDefault="005617DB" w:rsidP="005617DB">
            <w:pPr>
              <w:rPr>
                <w:lang w:eastAsia="zh-CN"/>
              </w:rPr>
            </w:pPr>
          </w:p>
          <w:p w14:paraId="2E17BF3C" w14:textId="77777777" w:rsidR="005617DB" w:rsidRDefault="005617DB" w:rsidP="005617DB">
            <w:pPr>
              <w:rPr>
                <w:b/>
                <w:u w:val="single"/>
                <w:lang w:eastAsia="ko-KR"/>
              </w:rPr>
            </w:pPr>
            <w:r>
              <w:rPr>
                <w:b/>
                <w:u w:val="single"/>
                <w:lang w:eastAsia="ko-KR"/>
              </w:rPr>
              <w:t>HO to a RedCap specific BWP with NCD-SSB (no CD-SSB)</w:t>
            </w:r>
          </w:p>
          <w:p w14:paraId="6010285A" w14:textId="77777777" w:rsidR="005617DB" w:rsidRDefault="005617DB" w:rsidP="005617DB">
            <w:pPr>
              <w:pStyle w:val="ListParagraph"/>
              <w:numPr>
                <w:ilvl w:val="1"/>
                <w:numId w:val="15"/>
              </w:numPr>
              <w:autoSpaceDN w:val="0"/>
              <w:spacing w:after="120" w:line="256" w:lineRule="auto"/>
              <w:ind w:left="1440"/>
              <w:contextualSpacing w:val="0"/>
            </w:pPr>
            <w:r>
              <w:rPr>
                <w:b/>
                <w:bCs/>
              </w:rPr>
              <w:t>Option 1 (E///):</w:t>
            </w:r>
            <w:r>
              <w:t xml:space="preserve"> H</w:t>
            </w:r>
            <w:r>
              <w:rPr>
                <w:rFonts w:eastAsia="Yu Mincho"/>
                <w:bCs/>
                <w:color w:val="000000"/>
                <w:lang w:eastAsia="ko-KR"/>
              </w:rPr>
              <w:t>andover directly to a RedCap specific BWP where only NCD-SSB is transmitted is supported when:</w:t>
            </w:r>
          </w:p>
          <w:p w14:paraId="66E8F071" w14:textId="77777777" w:rsidR="005617DB" w:rsidRDefault="005617DB" w:rsidP="005617DB">
            <w:pPr>
              <w:pStyle w:val="ListParagraph"/>
              <w:numPr>
                <w:ilvl w:val="2"/>
                <w:numId w:val="15"/>
              </w:numPr>
              <w:autoSpaceDN w:val="0"/>
              <w:spacing w:after="120" w:line="256" w:lineRule="auto"/>
              <w:contextualSpacing w:val="0"/>
              <w:rPr>
                <w:rFonts w:eastAsia="Yu Mincho"/>
                <w:bCs/>
                <w:color w:val="000000"/>
                <w:lang w:eastAsia="ko-KR"/>
              </w:rPr>
            </w:pPr>
            <w:r>
              <w:rPr>
                <w:rFonts w:eastAsia="Yu Mincho"/>
                <w:bCs/>
                <w:color w:val="000000"/>
                <w:lang w:eastAsia="ko-KR"/>
              </w:rPr>
              <w:t>the difference of center frequency between NCD-SSB of target BWP and CD-SSB of initial BWP of target cell is not larger than 20MHz in FR1 and 100MHz in FR2,</w:t>
            </w:r>
          </w:p>
          <w:p w14:paraId="115D0089" w14:textId="77777777" w:rsidR="005617DB" w:rsidRDefault="005617DB" w:rsidP="005617DB">
            <w:pPr>
              <w:pStyle w:val="ListParagraph"/>
              <w:numPr>
                <w:ilvl w:val="2"/>
                <w:numId w:val="15"/>
              </w:numPr>
              <w:autoSpaceDN w:val="0"/>
              <w:spacing w:after="120" w:line="256" w:lineRule="auto"/>
              <w:contextualSpacing w:val="0"/>
              <w:rPr>
                <w:rFonts w:eastAsia="Yu Mincho"/>
                <w:bCs/>
                <w:color w:val="000000"/>
                <w:lang w:eastAsia="ko-KR"/>
              </w:rPr>
            </w:pPr>
            <w:r>
              <w:rPr>
                <w:rFonts w:eastAsia="Yu Mincho"/>
                <w:bCs/>
                <w:color w:val="000000"/>
                <w:lang w:eastAsia="ko-KR"/>
              </w:rPr>
              <w:t>the difference of reception power between NCD-SSB and CD-SSB is less than 3dB,</w:t>
            </w:r>
          </w:p>
          <w:p w14:paraId="37EA474F" w14:textId="77777777" w:rsidR="005617DB" w:rsidRDefault="005617DB" w:rsidP="005617DB">
            <w:pPr>
              <w:pStyle w:val="ListParagraph"/>
              <w:numPr>
                <w:ilvl w:val="2"/>
                <w:numId w:val="15"/>
              </w:numPr>
              <w:autoSpaceDN w:val="0"/>
              <w:spacing w:after="120" w:line="256" w:lineRule="auto"/>
              <w:contextualSpacing w:val="0"/>
              <w:rPr>
                <w:rFonts w:eastAsia="Yu Mincho"/>
                <w:bCs/>
                <w:color w:val="000000"/>
                <w:lang w:eastAsia="ko-KR"/>
              </w:rPr>
            </w:pPr>
            <w:r>
              <w:rPr>
                <w:rFonts w:eastAsia="Yu Mincho"/>
                <w:bCs/>
                <w:color w:val="000000"/>
                <w:lang w:eastAsia="ko-KR"/>
              </w:rPr>
              <w:t>the periodicity of NCD-SSB and CD-SSB is the same</w:t>
            </w:r>
          </w:p>
          <w:p w14:paraId="31BE7CBD" w14:textId="77777777" w:rsidR="005617DB" w:rsidRDefault="005617DB" w:rsidP="005617DB">
            <w:pPr>
              <w:pStyle w:val="ListParagraph"/>
              <w:spacing w:after="120"/>
              <w:ind w:left="2376"/>
              <w:rPr>
                <w:rFonts w:eastAsia="Yu Mincho"/>
                <w:bCs/>
                <w:color w:val="000000"/>
                <w:lang w:eastAsia="ko-KR"/>
              </w:rPr>
            </w:pPr>
          </w:p>
          <w:p w14:paraId="73C42CBC" w14:textId="77777777" w:rsidR="005617DB" w:rsidRDefault="005617DB" w:rsidP="005617DB">
            <w:pPr>
              <w:rPr>
                <w:rFonts w:eastAsiaTheme="minorEastAsia"/>
                <w:b/>
                <w:u w:val="single"/>
                <w:lang w:val="en-GB" w:eastAsia="ko-KR"/>
              </w:rPr>
            </w:pPr>
            <w:r>
              <w:rPr>
                <w:b/>
                <w:u w:val="single"/>
                <w:lang w:eastAsia="ko-KR"/>
              </w:rPr>
              <w:t>Requirements for handover to RedCap specific BWP with NCD-SSB (no CD-SSB)</w:t>
            </w:r>
          </w:p>
          <w:p w14:paraId="47F50C7A" w14:textId="77777777" w:rsidR="005617DB" w:rsidRDefault="005617DB" w:rsidP="005617DB">
            <w:pPr>
              <w:pStyle w:val="ListParagraph"/>
              <w:numPr>
                <w:ilvl w:val="1"/>
                <w:numId w:val="15"/>
              </w:numPr>
              <w:autoSpaceDN w:val="0"/>
              <w:spacing w:after="120" w:line="256" w:lineRule="auto"/>
              <w:ind w:left="1440"/>
              <w:contextualSpacing w:val="0"/>
            </w:pPr>
            <w:r>
              <w:rPr>
                <w:b/>
                <w:bCs/>
              </w:rPr>
              <w:t>Option 1 (E///):</w:t>
            </w:r>
            <w:r>
              <w:t xml:space="preserve"> </w:t>
            </w:r>
            <w:r>
              <w:rPr>
                <w:rFonts w:eastAsia="Yu Mincho"/>
                <w:bCs/>
                <w:color w:val="000000"/>
                <w:lang w:eastAsia="ko-KR"/>
              </w:rPr>
              <w:t xml:space="preserve">Legacy NR handover requirements can be reused for handover to a target RedCap specific BWP where NCD-SSB is transmitted when the periodicity of NCD-SSB and CD-SSB is same. </w:t>
            </w:r>
          </w:p>
          <w:p w14:paraId="1EEC789E" w14:textId="77777777" w:rsidR="005617DB" w:rsidRDefault="005617DB" w:rsidP="005617DB">
            <w:pPr>
              <w:pStyle w:val="ListParagraph"/>
              <w:spacing w:after="120"/>
              <w:ind w:left="1440"/>
            </w:pPr>
          </w:p>
          <w:p w14:paraId="70DC0622" w14:textId="77777777" w:rsidR="005617DB" w:rsidRDefault="005617DB" w:rsidP="005617DB">
            <w:pPr>
              <w:rPr>
                <w:b/>
                <w:u w:val="single"/>
                <w:lang w:eastAsia="ko-KR"/>
              </w:rPr>
            </w:pPr>
            <w:r>
              <w:rPr>
                <w:b/>
                <w:u w:val="single"/>
                <w:lang w:eastAsia="ko-KR"/>
              </w:rPr>
              <w:t>Handover to RedCap specific BWP with no SSB</w:t>
            </w:r>
          </w:p>
          <w:p w14:paraId="43E44428" w14:textId="77777777" w:rsidR="005617DB" w:rsidRDefault="005617DB" w:rsidP="005617DB">
            <w:pPr>
              <w:pStyle w:val="ListParagraph"/>
              <w:numPr>
                <w:ilvl w:val="1"/>
                <w:numId w:val="15"/>
              </w:numPr>
              <w:autoSpaceDN w:val="0"/>
              <w:spacing w:after="120" w:line="256" w:lineRule="auto"/>
              <w:ind w:left="1440"/>
              <w:contextualSpacing w:val="0"/>
              <w:rPr>
                <w:rFonts w:eastAsia="Yu Mincho"/>
                <w:bCs/>
                <w:color w:val="000000"/>
                <w:lang w:eastAsia="ko-KR"/>
              </w:rPr>
            </w:pPr>
            <w:r>
              <w:rPr>
                <w:b/>
                <w:bCs/>
              </w:rPr>
              <w:t>Option 1 (E///):</w:t>
            </w:r>
            <w:r>
              <w:t xml:space="preserve"> </w:t>
            </w:r>
            <w:r>
              <w:rPr>
                <w:color w:val="000000" w:themeColor="text1"/>
              </w:rPr>
              <w:t xml:space="preserve">When there is no SSB transmission in a target RedCap specific BWP, handover to that RedCap specific BWP is supported when: </w:t>
            </w:r>
          </w:p>
          <w:p w14:paraId="27178B79" w14:textId="77777777" w:rsidR="005617DB" w:rsidRDefault="005617DB" w:rsidP="005617DB">
            <w:pPr>
              <w:pStyle w:val="ListParagraph"/>
              <w:numPr>
                <w:ilvl w:val="2"/>
                <w:numId w:val="15"/>
              </w:numPr>
              <w:autoSpaceDN w:val="0"/>
              <w:spacing w:after="120" w:line="256" w:lineRule="auto"/>
              <w:contextualSpacing w:val="0"/>
              <w:rPr>
                <w:rFonts w:eastAsia="Yu Mincho"/>
                <w:bCs/>
                <w:color w:val="000000"/>
                <w:lang w:eastAsia="ko-KR"/>
              </w:rPr>
            </w:pPr>
            <w:r>
              <w:rPr>
                <w:rFonts w:eastAsia="Yu Mincho"/>
                <w:bCs/>
                <w:color w:val="000000"/>
                <w:lang w:eastAsia="ko-KR"/>
              </w:rPr>
              <w:t>target RedCap specific BWP and initial BWP of target cell are not separated by larger than 20MHz in FR1 and 100MHz in FR2.</w:t>
            </w:r>
          </w:p>
          <w:p w14:paraId="4D4E6BBC" w14:textId="77777777" w:rsidR="005617DB" w:rsidRDefault="005617DB" w:rsidP="005617DB">
            <w:pPr>
              <w:pStyle w:val="ListParagraph"/>
              <w:numPr>
                <w:ilvl w:val="1"/>
                <w:numId w:val="15"/>
              </w:numPr>
              <w:autoSpaceDN w:val="0"/>
              <w:spacing w:after="120" w:line="256" w:lineRule="auto"/>
              <w:ind w:left="1440"/>
              <w:contextualSpacing w:val="0"/>
              <w:rPr>
                <w:rFonts w:eastAsia="Yu Mincho"/>
                <w:bCs/>
                <w:color w:val="000000"/>
                <w:lang w:eastAsia="ko-KR"/>
              </w:rPr>
            </w:pPr>
            <w:r>
              <w:rPr>
                <w:b/>
                <w:bCs/>
              </w:rPr>
              <w:t>Option 2 (Apple):</w:t>
            </w:r>
            <w:r>
              <w:t xml:space="preserve"> </w:t>
            </w:r>
            <w:r>
              <w:rPr>
                <w:color w:val="000000" w:themeColor="text1"/>
              </w:rPr>
              <w:t xml:space="preserve">When there is no SSB transmission in a target RedCap specific BWP, handover to that RedCap specific BWP is supported but no requirement applies. </w:t>
            </w:r>
          </w:p>
          <w:p w14:paraId="5487EFC6" w14:textId="77777777" w:rsidR="005617DB" w:rsidRDefault="005617DB" w:rsidP="005617DB">
            <w:pPr>
              <w:pStyle w:val="ListParagraph"/>
              <w:numPr>
                <w:ilvl w:val="1"/>
                <w:numId w:val="15"/>
              </w:numPr>
              <w:autoSpaceDN w:val="0"/>
              <w:spacing w:after="120" w:line="256" w:lineRule="auto"/>
              <w:ind w:left="1440"/>
              <w:contextualSpacing w:val="0"/>
              <w:rPr>
                <w:rFonts w:eastAsia="Yu Mincho"/>
                <w:bCs/>
                <w:color w:val="000000"/>
                <w:lang w:eastAsia="ko-KR"/>
              </w:rPr>
            </w:pPr>
            <w:r>
              <w:rPr>
                <w:b/>
                <w:color w:val="000000" w:themeColor="text1"/>
                <w:lang w:eastAsia="ko-KR"/>
              </w:rPr>
              <w:t>Option 3 (MTK):</w:t>
            </w:r>
            <w:r>
              <w:rPr>
                <w:bCs/>
                <w:color w:val="000000" w:themeColor="text1"/>
                <w:lang w:eastAsia="ko-KR"/>
              </w:rPr>
              <w:t xml:space="preserve"> </w:t>
            </w:r>
            <w:r>
              <w:rPr>
                <w:bCs/>
                <w:color w:val="000000" w:themeColor="text1"/>
              </w:rPr>
              <w:t>W</w:t>
            </w:r>
            <w:r>
              <w:rPr>
                <w:color w:val="000000" w:themeColor="text1"/>
              </w:rPr>
              <w:t>hen there is no SSB transmission in a target RedCap specific BWP, handover to that RedCap then the UE shall switch back to CD-SSB.</w:t>
            </w:r>
          </w:p>
          <w:p w14:paraId="7E066F05" w14:textId="77777777" w:rsidR="005617DB" w:rsidRDefault="005617DB" w:rsidP="005617DB">
            <w:pPr>
              <w:pStyle w:val="ListParagraph"/>
              <w:numPr>
                <w:ilvl w:val="1"/>
                <w:numId w:val="15"/>
              </w:numPr>
              <w:autoSpaceDN w:val="0"/>
              <w:spacing w:after="120" w:line="256" w:lineRule="auto"/>
              <w:ind w:left="1440"/>
              <w:contextualSpacing w:val="0"/>
              <w:rPr>
                <w:rFonts w:eastAsia="MS Mincho"/>
                <w:b/>
                <w:color w:val="000000" w:themeColor="text1"/>
                <w:lang w:val="en-GB" w:eastAsia="ko-KR"/>
              </w:rPr>
            </w:pPr>
            <w:r>
              <w:rPr>
                <w:b/>
                <w:color w:val="000000" w:themeColor="text1"/>
                <w:lang w:eastAsia="ko-KR"/>
              </w:rPr>
              <w:t xml:space="preserve">New Option 4 (Qualcomm): </w:t>
            </w:r>
            <w:r>
              <w:rPr>
                <w:bCs/>
                <w:color w:val="000000" w:themeColor="text1"/>
                <w:lang w:eastAsia="ko-KR"/>
              </w:rPr>
              <w:t>When the Redcap specific initial DL BWP is configured for RA only, and there is no SSB available in the redcap specific initial BWP, define the interruption time as</w:t>
            </w:r>
          </w:p>
          <w:p w14:paraId="57DE08D4" w14:textId="77777777" w:rsidR="005617DB" w:rsidRDefault="005617DB" w:rsidP="005617DB">
            <w:pPr>
              <w:numPr>
                <w:ilvl w:val="2"/>
                <w:numId w:val="18"/>
              </w:numPr>
              <w:spacing w:after="180" w:line="256" w:lineRule="auto"/>
              <w:rPr>
                <w:bCs/>
                <w:u w:val="single"/>
                <w:lang w:eastAsia="ko-KR"/>
              </w:rPr>
            </w:pPr>
            <w:r>
              <w:rPr>
                <w:bCs/>
                <w:u w:val="single"/>
                <w:lang w:eastAsia="ko-KR"/>
              </w:rPr>
              <w:t>T</w:t>
            </w:r>
            <w:r>
              <w:rPr>
                <w:bCs/>
                <w:u w:val="single"/>
                <w:vertAlign w:val="subscript"/>
                <w:lang w:eastAsia="ko-KR"/>
              </w:rPr>
              <w:t>interrupt</w:t>
            </w:r>
            <w:r>
              <w:rPr>
                <w:bCs/>
                <w:u w:val="single"/>
                <w:lang w:eastAsia="ko-KR"/>
              </w:rPr>
              <w:t xml:space="preserve"> = T</w:t>
            </w:r>
            <w:r>
              <w:rPr>
                <w:bCs/>
                <w:u w:val="single"/>
                <w:vertAlign w:val="subscript"/>
                <w:lang w:eastAsia="ko-KR"/>
              </w:rPr>
              <w:t>search</w:t>
            </w:r>
            <w:r>
              <w:rPr>
                <w:bCs/>
                <w:u w:val="single"/>
                <w:lang w:eastAsia="ko-KR"/>
              </w:rPr>
              <w:t xml:space="preserve"> + T</w:t>
            </w:r>
            <w:r>
              <w:rPr>
                <w:bCs/>
                <w:u w:val="single"/>
                <w:vertAlign w:val="subscript"/>
                <w:lang w:eastAsia="ko-KR"/>
              </w:rPr>
              <w:t>IU</w:t>
            </w:r>
            <w:r>
              <w:rPr>
                <w:bCs/>
                <w:u w:val="single"/>
                <w:lang w:eastAsia="ko-KR"/>
              </w:rPr>
              <w:t xml:space="preserve"> + T</w:t>
            </w:r>
            <w:r>
              <w:rPr>
                <w:bCs/>
                <w:u w:val="single"/>
                <w:vertAlign w:val="subscript"/>
                <w:lang w:eastAsia="ko-KR"/>
              </w:rPr>
              <w:t>processing</w:t>
            </w:r>
            <w:r>
              <w:rPr>
                <w:bCs/>
                <w:u w:val="single"/>
                <w:lang w:eastAsia="ko-KR"/>
              </w:rPr>
              <w:t xml:space="preserve"> </w:t>
            </w:r>
            <w:r>
              <w:rPr>
                <w:bCs/>
                <w:u w:val="single"/>
                <w:vertAlign w:val="subscript"/>
                <w:lang w:eastAsia="ko-KR"/>
              </w:rPr>
              <w:t xml:space="preserve"> </w:t>
            </w:r>
            <w:r>
              <w:rPr>
                <w:bCs/>
                <w:u w:val="single"/>
                <w:lang w:eastAsia="ko-KR"/>
              </w:rPr>
              <w:t>+ T</w:t>
            </w:r>
            <w:r>
              <w:rPr>
                <w:bCs/>
                <w:u w:val="single"/>
                <w:vertAlign w:val="subscript"/>
                <w:lang w:eastAsia="ko-KR"/>
              </w:rPr>
              <w:t>∆</w:t>
            </w:r>
            <w:r>
              <w:rPr>
                <w:bCs/>
                <w:u w:val="single"/>
                <w:lang w:eastAsia="ko-KR"/>
              </w:rPr>
              <w:t xml:space="preserve"> + T</w:t>
            </w:r>
            <w:r>
              <w:rPr>
                <w:bCs/>
                <w:u w:val="single"/>
                <w:vertAlign w:val="subscript"/>
                <w:lang w:eastAsia="ko-KR"/>
              </w:rPr>
              <w:t xml:space="preserve">margin </w:t>
            </w:r>
            <w:r>
              <w:rPr>
                <w:bCs/>
                <w:u w:val="single"/>
                <w:lang w:eastAsia="ko-KR"/>
              </w:rPr>
              <w:t>+ T</w:t>
            </w:r>
            <w:r>
              <w:rPr>
                <w:bCs/>
                <w:u w:val="single"/>
                <w:vertAlign w:val="subscript"/>
                <w:lang w:eastAsia="ko-KR"/>
              </w:rPr>
              <w:t xml:space="preserve">BWP-switching-delay </w:t>
            </w:r>
            <w:r>
              <w:rPr>
                <w:bCs/>
                <w:u w:val="single"/>
                <w:lang w:eastAsia="ko-KR"/>
              </w:rPr>
              <w:t>ms</w:t>
            </w:r>
          </w:p>
          <w:p w14:paraId="7C058A26" w14:textId="77777777" w:rsidR="005617DB" w:rsidRDefault="005617DB" w:rsidP="005617DB">
            <w:pPr>
              <w:numPr>
                <w:ilvl w:val="2"/>
                <w:numId w:val="18"/>
              </w:numPr>
              <w:spacing w:after="180" w:line="256" w:lineRule="auto"/>
              <w:rPr>
                <w:bCs/>
                <w:u w:val="single"/>
                <w:lang w:eastAsia="ko-KR"/>
              </w:rPr>
            </w:pPr>
            <w:r>
              <w:rPr>
                <w:bCs/>
                <w:u w:val="single"/>
                <w:lang w:eastAsia="ko-KR"/>
              </w:rPr>
              <w:lastRenderedPageBreak/>
              <w:t>Where, T</w:t>
            </w:r>
            <w:r>
              <w:rPr>
                <w:bCs/>
                <w:u w:val="single"/>
                <w:vertAlign w:val="subscript"/>
                <w:lang w:eastAsia="ko-KR"/>
              </w:rPr>
              <w:t>BWP-switching-delay</w:t>
            </w:r>
            <w:r>
              <w:rPr>
                <w:bCs/>
                <w:u w:val="single"/>
                <w:lang w:eastAsia="ko-KR"/>
              </w:rPr>
              <w:t xml:space="preserve"> is the BWP switching delay </w:t>
            </w:r>
          </w:p>
          <w:p w14:paraId="38E64001" w14:textId="77777777" w:rsidR="005617DB" w:rsidRPr="005617DB" w:rsidRDefault="005617DB" w:rsidP="005C23A4">
            <w:pPr>
              <w:rPr>
                <w:szCs w:val="20"/>
              </w:rPr>
            </w:pPr>
          </w:p>
        </w:tc>
      </w:tr>
    </w:tbl>
    <w:p w14:paraId="7D1F5156" w14:textId="77777777" w:rsidR="005617DB" w:rsidRDefault="005617DB" w:rsidP="005C23A4">
      <w:pPr>
        <w:rPr>
          <w:szCs w:val="20"/>
          <w:lang w:val="en-GB"/>
        </w:rPr>
      </w:pPr>
    </w:p>
    <w:p w14:paraId="68D5884C" w14:textId="7BC94A53" w:rsidR="00090E18" w:rsidRPr="00922B76" w:rsidRDefault="00D71ADA" w:rsidP="005C23A4">
      <w:pPr>
        <w:rPr>
          <w:szCs w:val="20"/>
          <w:lang w:val="en-GB"/>
        </w:rPr>
      </w:pPr>
      <w:r w:rsidRPr="00922B76">
        <w:rPr>
          <w:szCs w:val="20"/>
          <w:lang w:val="en-GB"/>
        </w:rPr>
        <w:t xml:space="preserve">This </w:t>
      </w:r>
      <w:r w:rsidR="005B6B56" w:rsidRPr="00922B76">
        <w:rPr>
          <w:szCs w:val="20"/>
          <w:lang w:val="en-GB"/>
        </w:rPr>
        <w:t xml:space="preserve">document </w:t>
      </w:r>
      <w:r w:rsidR="00D23AA4">
        <w:rPr>
          <w:szCs w:val="20"/>
          <w:lang w:val="en-GB"/>
        </w:rPr>
        <w:t>discusses the mobility requirements for RedCap UEs</w:t>
      </w:r>
      <w:r w:rsidR="005617DB">
        <w:rPr>
          <w:szCs w:val="20"/>
          <w:lang w:val="en-GB"/>
        </w:rPr>
        <w:t>.</w:t>
      </w:r>
    </w:p>
    <w:p w14:paraId="5E6E091D" w14:textId="77777777" w:rsidR="003B659E" w:rsidRPr="00922B76" w:rsidRDefault="003B659E" w:rsidP="00922B76">
      <w:pPr>
        <w:pStyle w:val="RAN4H1"/>
      </w:pPr>
      <w:r w:rsidRPr="00922B76">
        <w:t>Discussion</w:t>
      </w:r>
    </w:p>
    <w:p w14:paraId="3A1B9C09" w14:textId="46C5CC2B" w:rsidR="005617DB" w:rsidRDefault="005617DB" w:rsidP="005617DB">
      <w:pPr>
        <w:pStyle w:val="RAN4H2"/>
      </w:pPr>
      <w:r>
        <w:t>T</w:t>
      </w:r>
      <w:r w:rsidRPr="005617DB">
        <w:rPr>
          <w:vertAlign w:val="subscript"/>
        </w:rPr>
        <w:t>search</w:t>
      </w:r>
      <w:r>
        <w:t xml:space="preserve"> for RedCap UEs with 1 Rx</w:t>
      </w:r>
    </w:p>
    <w:p w14:paraId="0305C6B6" w14:textId="5EC3EA61" w:rsidR="00570748" w:rsidRDefault="00D23AA4" w:rsidP="00D23AA4">
      <w:pPr>
        <w:rPr>
          <w:szCs w:val="20"/>
        </w:rPr>
      </w:pPr>
      <w:r>
        <w:rPr>
          <w:szCs w:val="20"/>
        </w:rPr>
        <w:t xml:space="preserve">In our </w:t>
      </w:r>
      <w:r w:rsidRPr="00664B37">
        <w:rPr>
          <w:szCs w:val="20"/>
        </w:rPr>
        <w:t xml:space="preserve">contribution </w:t>
      </w:r>
      <w:r w:rsidR="00664B37" w:rsidRPr="00664B37">
        <w:rPr>
          <w:szCs w:val="20"/>
        </w:rPr>
        <w:fldChar w:fldCharType="begin"/>
      </w:r>
      <w:r w:rsidR="00664B37" w:rsidRPr="00664B37">
        <w:rPr>
          <w:szCs w:val="20"/>
        </w:rPr>
        <w:instrText xml:space="preserve"> REF _Ref92701040 \r \h </w:instrText>
      </w:r>
      <w:r w:rsidR="00664B37">
        <w:rPr>
          <w:szCs w:val="20"/>
        </w:rPr>
        <w:instrText xml:space="preserve"> \* MERGEFORMAT </w:instrText>
      </w:r>
      <w:r w:rsidR="00664B37" w:rsidRPr="00664B37">
        <w:rPr>
          <w:szCs w:val="20"/>
        </w:rPr>
      </w:r>
      <w:r w:rsidR="00664B37" w:rsidRPr="00664B37">
        <w:rPr>
          <w:szCs w:val="20"/>
        </w:rPr>
        <w:fldChar w:fldCharType="separate"/>
      </w:r>
      <w:r w:rsidR="00664B37" w:rsidRPr="00664B37">
        <w:rPr>
          <w:szCs w:val="20"/>
        </w:rPr>
        <w:t>[4]</w:t>
      </w:r>
      <w:r w:rsidR="00664B37" w:rsidRPr="00664B37">
        <w:rPr>
          <w:szCs w:val="20"/>
        </w:rPr>
        <w:fldChar w:fldCharType="end"/>
      </w:r>
      <w:r w:rsidRPr="00664B37">
        <w:rPr>
          <w:szCs w:val="20"/>
        </w:rPr>
        <w:t>,</w:t>
      </w:r>
      <w:r>
        <w:rPr>
          <w:szCs w:val="20"/>
        </w:rPr>
        <w:t xml:space="preserve"> we present the cell-detection results for RedCap UEs with 1 RX</w:t>
      </w:r>
      <w:r w:rsidR="003F76FF">
        <w:rPr>
          <w:szCs w:val="20"/>
        </w:rPr>
        <w:t>, they are repeated in the Annex for convenience</w:t>
      </w:r>
      <w:r>
        <w:rPr>
          <w:szCs w:val="20"/>
        </w:rPr>
        <w:t>. Our conclusion is that the number of required samples for PSS/ SSS detection</w:t>
      </w:r>
      <w:r w:rsidR="00570748">
        <w:rPr>
          <w:szCs w:val="20"/>
        </w:rPr>
        <w:t xml:space="preserve"> is at most 2 samples, which is also considered in the requirements for Rel-15 NR, therefore, it</w:t>
      </w:r>
      <w:r>
        <w:rPr>
          <w:szCs w:val="20"/>
        </w:rPr>
        <w:t xml:space="preserve"> is not changed for RedCap UEs</w:t>
      </w:r>
      <w:r w:rsidR="00664B37">
        <w:rPr>
          <w:szCs w:val="20"/>
        </w:rPr>
        <w:t xml:space="preserve"> with 1RX</w:t>
      </w:r>
      <w:r>
        <w:rPr>
          <w:szCs w:val="20"/>
        </w:rPr>
        <w:t xml:space="preserve">. </w:t>
      </w:r>
    </w:p>
    <w:p w14:paraId="5AD96BE3" w14:textId="72EEE5AB" w:rsidR="00521A31" w:rsidRDefault="00D23AA4" w:rsidP="00D23AA4">
      <w:pPr>
        <w:rPr>
          <w:szCs w:val="20"/>
        </w:rPr>
      </w:pPr>
      <w:r>
        <w:rPr>
          <w:szCs w:val="20"/>
        </w:rPr>
        <w:t>However, since it was already agreed to extend the detection period, we propose that this extension is limited to 1 sample</w:t>
      </w:r>
      <w:r w:rsidR="00521A31">
        <w:rPr>
          <w:szCs w:val="20"/>
        </w:rPr>
        <w:t>,</w:t>
      </w:r>
      <w:r w:rsidR="00570748">
        <w:rPr>
          <w:szCs w:val="20"/>
        </w:rPr>
        <w:t xml:space="preserve"> at least for the intra-frequency case. For the inter-frequency case, we can compromise to the view of most companies in the past RAN4 </w:t>
      </w:r>
      <w:r w:rsidR="008746AE">
        <w:rPr>
          <w:szCs w:val="20"/>
        </w:rPr>
        <w:t>meetings and</w:t>
      </w:r>
      <w:r w:rsidR="00570748">
        <w:rPr>
          <w:szCs w:val="20"/>
        </w:rPr>
        <w:t xml:space="preserve"> extend it by 2 samples. </w:t>
      </w:r>
    </w:p>
    <w:p w14:paraId="16B5ACDB" w14:textId="64B8583F" w:rsidR="003424AE" w:rsidRPr="003424AE" w:rsidRDefault="003424AE" w:rsidP="003424AE">
      <w:pPr>
        <w:pStyle w:val="RAN4observation0"/>
      </w:pPr>
      <w:r>
        <w:t xml:space="preserve">RAN4 has agreed that the time for PSS/SSS detection in FR1 </w:t>
      </w:r>
      <w:r w:rsidR="00570748">
        <w:t xml:space="preserve">for RedCap UEs with 1 Rx </w:t>
      </w:r>
      <w:r>
        <w:t>is extended.</w:t>
      </w:r>
    </w:p>
    <w:p w14:paraId="71244C4A" w14:textId="5A9346A5" w:rsidR="00521A31" w:rsidRDefault="002228F1" w:rsidP="00A91ED2">
      <w:pPr>
        <w:pStyle w:val="RAN4proposal"/>
        <w:rPr>
          <w:vertAlign w:val="subscript"/>
        </w:rPr>
      </w:pPr>
      <w:r w:rsidRPr="00880F24">
        <w:t>T</w:t>
      </w:r>
      <w:r w:rsidRPr="00880F24">
        <w:rPr>
          <w:vertAlign w:val="subscript"/>
        </w:rPr>
        <w:t>search</w:t>
      </w:r>
      <w:r w:rsidRPr="00880F24">
        <w:t xml:space="preserve"> for RedCap UE </w:t>
      </w:r>
      <w:r w:rsidR="00880F24" w:rsidRPr="00880F24">
        <w:t xml:space="preserve">with 1 RX </w:t>
      </w:r>
      <w:r w:rsidR="00570748">
        <w:t>for</w:t>
      </w:r>
      <w:r w:rsidR="003424AE">
        <w:t xml:space="preserve"> intra-frequency handover,</w:t>
      </w:r>
      <w:r w:rsidR="00570748">
        <w:t xml:space="preserve"> is</w:t>
      </w:r>
      <w:r w:rsidR="003424AE">
        <w:t xml:space="preserve"> T</w:t>
      </w:r>
      <w:r w:rsidR="003424AE">
        <w:rPr>
          <w:vertAlign w:val="subscript"/>
        </w:rPr>
        <w:t>search</w:t>
      </w:r>
      <w:r w:rsidR="003424AE">
        <w:t>=2*T</w:t>
      </w:r>
      <w:r w:rsidR="003424AE">
        <w:rPr>
          <w:vertAlign w:val="subscript"/>
        </w:rPr>
        <w:t>rs</w:t>
      </w:r>
      <w:r w:rsidR="003424AE">
        <w:t xml:space="preserve"> and for inter-frequency handover, T</w:t>
      </w:r>
      <w:r w:rsidR="003424AE">
        <w:rPr>
          <w:vertAlign w:val="subscript"/>
        </w:rPr>
        <w:t>search</w:t>
      </w:r>
      <w:r w:rsidR="003424AE">
        <w:t>=</w:t>
      </w:r>
      <w:r w:rsidR="005617DB">
        <w:t>5</w:t>
      </w:r>
      <w:r w:rsidR="003424AE">
        <w:t>*T</w:t>
      </w:r>
      <w:r w:rsidR="003424AE">
        <w:rPr>
          <w:vertAlign w:val="subscript"/>
        </w:rPr>
        <w:t>rs</w:t>
      </w:r>
    </w:p>
    <w:p w14:paraId="1DF4A315" w14:textId="18D38A50" w:rsidR="005617DB" w:rsidRDefault="005617DB" w:rsidP="005617DB">
      <w:pPr>
        <w:pStyle w:val="RAN4H2"/>
      </w:pPr>
      <w:r>
        <w:t xml:space="preserve">Handover to RedCap specific BWP </w:t>
      </w:r>
    </w:p>
    <w:p w14:paraId="050EB2C3" w14:textId="053BCB93" w:rsidR="00740F57" w:rsidRDefault="00570748" w:rsidP="005617DB">
      <w:r>
        <w:t>Among the open issues from the last meeting is the handover to RedCap specific BWP with NCD-SSB</w:t>
      </w:r>
      <w:r w:rsidR="003C1C04">
        <w:t xml:space="preserve"> or without SSB</w:t>
      </w:r>
      <w:r>
        <w:t xml:space="preserve">. </w:t>
      </w:r>
      <w:r w:rsidR="00740F57">
        <w:t xml:space="preserve">A non cell-defining SSB is not located at the channel raster and it is not associated to RMSI. </w:t>
      </w:r>
    </w:p>
    <w:p w14:paraId="3094FF8B" w14:textId="1FEC9CB0" w:rsidR="00570748" w:rsidRDefault="00570748" w:rsidP="005617DB">
      <w:r>
        <w:t>RAN4 sent an LS to RAN2 about the topic, in</w:t>
      </w:r>
      <w:r w:rsidR="00C63A1A">
        <w:t xml:space="preserve"> </w:t>
      </w:r>
      <w:r w:rsidR="00C63A1A">
        <w:fldChar w:fldCharType="begin"/>
      </w:r>
      <w:r w:rsidR="00C63A1A">
        <w:instrText xml:space="preserve"> REF _Ref99450437 \r \h </w:instrText>
      </w:r>
      <w:r w:rsidR="00C63A1A">
        <w:fldChar w:fldCharType="separate"/>
      </w:r>
      <w:r w:rsidR="00C63A1A">
        <w:t>[5]</w:t>
      </w:r>
      <w:r w:rsidR="00C63A1A">
        <w:fldChar w:fldCharType="end"/>
      </w:r>
      <w:r w:rsidR="00C63A1A">
        <w:t xml:space="preserve">. Though the LS has not been answered yet, </w:t>
      </w:r>
      <w:r w:rsidR="001578C4">
        <w:t xml:space="preserve">in RAN2 #117e </w:t>
      </w:r>
      <w:r w:rsidR="003C1C04">
        <w:t xml:space="preserve">– which occurred simultaneously to RAN4 #102 – </w:t>
      </w:r>
      <w:r w:rsidR="001578C4">
        <w:t>the</w:t>
      </w:r>
      <w:r w:rsidR="003C1C04">
        <w:t xml:space="preserve"> </w:t>
      </w:r>
      <w:r w:rsidR="001578C4">
        <w:t>following was agreed:</w:t>
      </w:r>
    </w:p>
    <w:tbl>
      <w:tblPr>
        <w:tblStyle w:val="TableGrid"/>
        <w:tblW w:w="0" w:type="auto"/>
        <w:tblLook w:val="04A0" w:firstRow="1" w:lastRow="0" w:firstColumn="1" w:lastColumn="0" w:noHBand="0" w:noVBand="1"/>
      </w:tblPr>
      <w:tblGrid>
        <w:gridCol w:w="9617"/>
      </w:tblGrid>
      <w:tr w:rsidR="001578C4" w14:paraId="5F13F224" w14:textId="77777777" w:rsidTr="001578C4">
        <w:tc>
          <w:tcPr>
            <w:tcW w:w="9617" w:type="dxa"/>
          </w:tcPr>
          <w:p w14:paraId="16EEB7F5" w14:textId="454A525B" w:rsidR="001578C4" w:rsidRDefault="001578C4" w:rsidP="005617DB">
            <w:r w:rsidRPr="001578C4">
              <w:t>NCD-SSB should not be indicated in the handover command, i.e., network sets ServingCellConfigCommon =&gt; downlinkConfigCommon =&gt; frequencyInfoDL =&gt; absoluteFrequencySSB to the frequency of the CD-SSB (not the NCD-SSB)</w:t>
            </w:r>
          </w:p>
        </w:tc>
      </w:tr>
    </w:tbl>
    <w:p w14:paraId="422EB975" w14:textId="442F7054" w:rsidR="001578C4" w:rsidRDefault="001578C4" w:rsidP="005617DB"/>
    <w:p w14:paraId="6AF52EF7" w14:textId="09577149" w:rsidR="008746AE" w:rsidRDefault="008746AE" w:rsidP="008746AE">
      <w:pPr>
        <w:pStyle w:val="RAN4observation0"/>
      </w:pPr>
      <w:r>
        <w:t>RAN2 has agreed that NCD-SSB should not be indicated in the handover command.</w:t>
      </w:r>
    </w:p>
    <w:p w14:paraId="7AA1A3CE" w14:textId="53DE51C4" w:rsidR="008746AE" w:rsidRDefault="008746AE" w:rsidP="008746AE">
      <w:pPr>
        <w:rPr>
          <w:lang w:val="en-GB"/>
        </w:rPr>
      </w:pPr>
      <w:r>
        <w:rPr>
          <w:lang w:val="en-GB"/>
        </w:rPr>
        <w:t>Since the NCD-SSB should not be indicated in the handover command, it is our view that it is not possible to handover to a RedCap BWP with only NCD-SSB</w:t>
      </w:r>
      <w:r w:rsidR="00FD099C">
        <w:rPr>
          <w:lang w:val="en-GB"/>
        </w:rPr>
        <w:t xml:space="preserve">, therefore, there is no need to discuss </w:t>
      </w:r>
      <w:r w:rsidR="00A80857">
        <w:rPr>
          <w:lang w:val="en-GB"/>
        </w:rPr>
        <w:t>the requirements for this case in RAN4.</w:t>
      </w:r>
    </w:p>
    <w:p w14:paraId="1B4150BB" w14:textId="1F67ED0F" w:rsidR="00FD099C" w:rsidRDefault="00A80857" w:rsidP="00FD099C">
      <w:pPr>
        <w:pStyle w:val="RAN4proposal"/>
        <w:rPr>
          <w:lang w:val="en-GB"/>
        </w:rPr>
      </w:pPr>
      <w:r>
        <w:rPr>
          <w:lang w:val="en-GB"/>
        </w:rPr>
        <w:t>The UE is not expected to perform HO to a RedCap specific BWP with only NCD-SSB.</w:t>
      </w:r>
    </w:p>
    <w:p w14:paraId="16CA844C" w14:textId="18480FC7" w:rsidR="00CD7492" w:rsidRDefault="00CD7492" w:rsidP="00A45502">
      <w:pPr>
        <w:pStyle w:val="RAN4H1"/>
      </w:pPr>
      <w:r w:rsidRPr="00A45502">
        <w:t>Conclusion</w:t>
      </w:r>
    </w:p>
    <w:p w14:paraId="1F920DFA" w14:textId="3A6BBA34" w:rsidR="009D7278" w:rsidRDefault="009D7278" w:rsidP="009D7278">
      <w:pPr>
        <w:rPr>
          <w:lang w:val="en-GB"/>
        </w:rPr>
      </w:pPr>
      <w:r>
        <w:rPr>
          <w:lang w:val="en-GB"/>
        </w:rPr>
        <w:t>In this contribution, the mobility requirements for RedCap UEs are discussed. The following observations and proposals are presented:</w:t>
      </w:r>
    </w:p>
    <w:p w14:paraId="2D73F3C7" w14:textId="77777777" w:rsidR="00D16EDC" w:rsidRPr="003424AE" w:rsidRDefault="00D16EDC" w:rsidP="00D16EDC">
      <w:pPr>
        <w:pStyle w:val="RAN4Observation"/>
        <w:numPr>
          <w:ilvl w:val="0"/>
          <w:numId w:val="19"/>
        </w:numPr>
      </w:pPr>
      <w:r>
        <w:t>RAN4 has agreed that the time for PSS/SSS detection in FR1 for RedCap UEs with 1 Rx is extended.</w:t>
      </w:r>
    </w:p>
    <w:p w14:paraId="545BF454" w14:textId="77777777" w:rsidR="00D16EDC" w:rsidRPr="00D16EDC" w:rsidRDefault="00D16EDC" w:rsidP="00D16EDC">
      <w:pPr>
        <w:pStyle w:val="RAN4proposal"/>
        <w:numPr>
          <w:ilvl w:val="0"/>
          <w:numId w:val="20"/>
        </w:numPr>
        <w:rPr>
          <w:vertAlign w:val="subscript"/>
        </w:rPr>
      </w:pPr>
      <w:r w:rsidRPr="00880F24">
        <w:t>T</w:t>
      </w:r>
      <w:r w:rsidRPr="00D16EDC">
        <w:rPr>
          <w:vertAlign w:val="subscript"/>
        </w:rPr>
        <w:t>search</w:t>
      </w:r>
      <w:r w:rsidRPr="00880F24">
        <w:t xml:space="preserve"> for RedCap UE with 1 RX </w:t>
      </w:r>
      <w:r>
        <w:t>for intra-frequency handover, is T</w:t>
      </w:r>
      <w:r w:rsidRPr="00D16EDC">
        <w:rPr>
          <w:vertAlign w:val="subscript"/>
        </w:rPr>
        <w:t>search</w:t>
      </w:r>
      <w:r>
        <w:t>=2*T</w:t>
      </w:r>
      <w:r w:rsidRPr="00D16EDC">
        <w:rPr>
          <w:vertAlign w:val="subscript"/>
        </w:rPr>
        <w:t>rs</w:t>
      </w:r>
      <w:r>
        <w:t xml:space="preserve"> and for inter-frequency handover, T</w:t>
      </w:r>
      <w:r w:rsidRPr="00D16EDC">
        <w:rPr>
          <w:vertAlign w:val="subscript"/>
        </w:rPr>
        <w:t>search</w:t>
      </w:r>
      <w:r>
        <w:t>=5*T</w:t>
      </w:r>
      <w:r w:rsidRPr="00D16EDC">
        <w:rPr>
          <w:vertAlign w:val="subscript"/>
        </w:rPr>
        <w:t>rs</w:t>
      </w:r>
    </w:p>
    <w:p w14:paraId="0D85F15D" w14:textId="77777777" w:rsidR="00D16EDC" w:rsidRDefault="00D16EDC" w:rsidP="00D16EDC">
      <w:pPr>
        <w:pStyle w:val="RAN4observation0"/>
      </w:pPr>
      <w:r>
        <w:t>RAN2 has agreed that NCD-SSB should not be indicated in the handover command.</w:t>
      </w:r>
    </w:p>
    <w:p w14:paraId="384F690A" w14:textId="77777777" w:rsidR="00D16EDC" w:rsidRDefault="00D16EDC" w:rsidP="00D16EDC">
      <w:pPr>
        <w:pStyle w:val="RAN4proposal"/>
        <w:rPr>
          <w:lang w:val="en-GB"/>
        </w:rPr>
      </w:pPr>
      <w:r>
        <w:rPr>
          <w:lang w:val="en-GB"/>
        </w:rPr>
        <w:t>The UE is not expected to perform HO to a RedCap specific BWP with only NCD-SSB.</w:t>
      </w:r>
    </w:p>
    <w:p w14:paraId="6E61D21D" w14:textId="77777777" w:rsidR="003B659E" w:rsidRPr="00922B76" w:rsidRDefault="003B659E" w:rsidP="00A45502">
      <w:pPr>
        <w:pStyle w:val="RAN4H1"/>
      </w:pPr>
      <w:r w:rsidRPr="00A45502">
        <w:lastRenderedPageBreak/>
        <w:t>References</w:t>
      </w:r>
    </w:p>
    <w:p w14:paraId="39C69540" w14:textId="28DE5FD7" w:rsidR="00687FA0" w:rsidRPr="00922B76" w:rsidRDefault="00D71ADA" w:rsidP="00EC1EEF">
      <w:pPr>
        <w:pStyle w:val="ListParagraph"/>
        <w:numPr>
          <w:ilvl w:val="0"/>
          <w:numId w:val="5"/>
        </w:numPr>
        <w:ind w:right="-22"/>
        <w:rPr>
          <w:szCs w:val="20"/>
          <w:lang w:val="en-GB"/>
        </w:rPr>
      </w:pPr>
      <w:bookmarkStart w:id="4" w:name="_Ref90882663"/>
      <w:r w:rsidRPr="00922B76">
        <w:rPr>
          <w:szCs w:val="20"/>
          <w:lang w:val="en-GB"/>
        </w:rPr>
        <w:t>RP-211574, “Revised WID on support of reduced capability NR devices”, Ericsson</w:t>
      </w:r>
      <w:bookmarkEnd w:id="4"/>
    </w:p>
    <w:p w14:paraId="760F9325" w14:textId="7E090BFE" w:rsidR="00D71ADA" w:rsidRPr="00922B76" w:rsidRDefault="0018718A" w:rsidP="00EC1EEF">
      <w:pPr>
        <w:pStyle w:val="ListParagraph"/>
        <w:numPr>
          <w:ilvl w:val="0"/>
          <w:numId w:val="5"/>
        </w:numPr>
        <w:ind w:right="-22"/>
        <w:rPr>
          <w:szCs w:val="20"/>
          <w:lang w:val="en-GB"/>
        </w:rPr>
      </w:pPr>
      <w:bookmarkStart w:id="5" w:name="_Ref90882806"/>
      <w:bookmarkStart w:id="6" w:name="_Ref91056933"/>
      <w:r w:rsidRPr="00922B76">
        <w:rPr>
          <w:szCs w:val="20"/>
          <w:lang w:val="en-GB"/>
        </w:rPr>
        <w:t>R4-2115359</w:t>
      </w:r>
      <w:r w:rsidR="00D71ADA" w:rsidRPr="00922B76">
        <w:rPr>
          <w:szCs w:val="20"/>
          <w:lang w:val="en-GB"/>
        </w:rPr>
        <w:t xml:space="preserve">, “Simulation assumptions for RedCap </w:t>
      </w:r>
      <w:r w:rsidRPr="00922B76">
        <w:rPr>
          <w:szCs w:val="20"/>
          <w:lang w:val="en-GB"/>
        </w:rPr>
        <w:t>cell detection</w:t>
      </w:r>
      <w:r w:rsidR="00D71ADA" w:rsidRPr="00922B76">
        <w:rPr>
          <w:szCs w:val="20"/>
          <w:lang w:val="en-GB"/>
        </w:rPr>
        <w:t xml:space="preserve"> performance”, </w:t>
      </w:r>
      <w:bookmarkEnd w:id="5"/>
      <w:r w:rsidRPr="00922B76">
        <w:rPr>
          <w:szCs w:val="20"/>
          <w:lang w:val="en-GB"/>
        </w:rPr>
        <w:t>vivo</w:t>
      </w:r>
      <w:bookmarkEnd w:id="6"/>
    </w:p>
    <w:p w14:paraId="7030C889" w14:textId="1ECC8D54" w:rsidR="005B6B56" w:rsidRPr="00664B37" w:rsidRDefault="005B6B56" w:rsidP="00EC1EEF">
      <w:pPr>
        <w:pStyle w:val="ListParagraph"/>
        <w:numPr>
          <w:ilvl w:val="0"/>
          <w:numId w:val="5"/>
        </w:numPr>
        <w:ind w:right="-22"/>
        <w:rPr>
          <w:szCs w:val="20"/>
          <w:lang w:val="en-GB"/>
        </w:rPr>
      </w:pPr>
      <w:bookmarkStart w:id="7" w:name="_Ref90902991"/>
      <w:bookmarkStart w:id="8" w:name="_Ref99442700"/>
      <w:r w:rsidRPr="00664B37">
        <w:rPr>
          <w:szCs w:val="20"/>
          <w:lang w:val="en-GB"/>
        </w:rPr>
        <w:t>R4-2</w:t>
      </w:r>
      <w:r w:rsidR="00CE1438">
        <w:rPr>
          <w:szCs w:val="20"/>
          <w:lang w:val="en-GB"/>
        </w:rPr>
        <w:t>20</w:t>
      </w:r>
      <w:r w:rsidR="00FC72D5">
        <w:rPr>
          <w:szCs w:val="20"/>
          <w:lang w:val="en-GB"/>
        </w:rPr>
        <w:t>6950</w:t>
      </w:r>
      <w:r w:rsidRPr="00664B37">
        <w:rPr>
          <w:szCs w:val="20"/>
          <w:lang w:val="en-GB"/>
        </w:rPr>
        <w:t>, “WF on RedCap RRM requirements”, Ericsson</w:t>
      </w:r>
      <w:bookmarkEnd w:id="7"/>
      <w:r w:rsidR="00FC72D5">
        <w:rPr>
          <w:szCs w:val="20"/>
          <w:lang w:val="en-GB"/>
        </w:rPr>
        <w:t xml:space="preserve"> (RAN4 #102)</w:t>
      </w:r>
      <w:bookmarkEnd w:id="8"/>
    </w:p>
    <w:p w14:paraId="2F62B0E0" w14:textId="58CA436C" w:rsidR="00D23AA4" w:rsidRDefault="00664B37" w:rsidP="00EC1EEF">
      <w:pPr>
        <w:pStyle w:val="ListParagraph"/>
        <w:numPr>
          <w:ilvl w:val="0"/>
          <w:numId w:val="5"/>
        </w:numPr>
        <w:ind w:right="-22"/>
        <w:rPr>
          <w:szCs w:val="20"/>
          <w:lang w:val="en-GB"/>
        </w:rPr>
      </w:pPr>
      <w:bookmarkStart w:id="9" w:name="_Ref92701040"/>
      <w:r w:rsidRPr="00664B37">
        <w:rPr>
          <w:szCs w:val="20"/>
          <w:lang w:val="en-GB"/>
        </w:rPr>
        <w:t>R4-2200870, “Simulation Results: cell detection performance for RedCap”, Nokia, Nokia Shanghai Bell</w:t>
      </w:r>
      <w:bookmarkEnd w:id="9"/>
    </w:p>
    <w:p w14:paraId="62895BBA" w14:textId="5A0AB0E7" w:rsidR="00570748" w:rsidRDefault="00570748" w:rsidP="00EC1EEF">
      <w:pPr>
        <w:pStyle w:val="ListParagraph"/>
        <w:numPr>
          <w:ilvl w:val="0"/>
          <w:numId w:val="5"/>
        </w:numPr>
        <w:ind w:right="-22"/>
        <w:rPr>
          <w:szCs w:val="20"/>
          <w:lang w:val="en-GB"/>
        </w:rPr>
      </w:pPr>
      <w:bookmarkStart w:id="10" w:name="_Ref99450437"/>
      <w:r w:rsidRPr="00570748">
        <w:rPr>
          <w:szCs w:val="20"/>
          <w:lang w:val="en-GB"/>
        </w:rPr>
        <w:t>R4-2207104, “LS on handover using NCD-SSB”, Ericsson</w:t>
      </w:r>
      <w:bookmarkEnd w:id="10"/>
    </w:p>
    <w:p w14:paraId="2004DD25" w14:textId="77777777" w:rsidR="003F76FF" w:rsidRDefault="003F76FF" w:rsidP="003F76FF">
      <w:pPr>
        <w:pStyle w:val="RAN4H1"/>
      </w:pPr>
      <w:r>
        <w:t>Annex</w:t>
      </w:r>
    </w:p>
    <w:p w14:paraId="1D021D14" w14:textId="4D67BE85" w:rsidR="003F76FF" w:rsidRPr="003F76FF" w:rsidRDefault="003F76FF" w:rsidP="003F76FF">
      <w:pPr>
        <w:jc w:val="center"/>
        <w:rPr>
          <w:lang w:val="en-GB"/>
        </w:rPr>
      </w:pPr>
      <w:r w:rsidRPr="003F76FF">
        <w:rPr>
          <w:lang w:val="en-GB"/>
        </w:rPr>
        <w:t xml:space="preserve">Table </w:t>
      </w:r>
      <w:r w:rsidRPr="003F76FF">
        <w:rPr>
          <w:lang w:val="en-GB"/>
        </w:rPr>
        <w:fldChar w:fldCharType="begin"/>
      </w:r>
      <w:r w:rsidRPr="003F76FF">
        <w:rPr>
          <w:lang w:val="en-GB"/>
        </w:rPr>
        <w:instrText xml:space="preserve"> SEQ Table \* ARABIC </w:instrText>
      </w:r>
      <w:r w:rsidRPr="003F76FF">
        <w:rPr>
          <w:lang w:val="en-GB"/>
        </w:rPr>
        <w:fldChar w:fldCharType="separate"/>
      </w:r>
      <w:r w:rsidRPr="003F76FF">
        <w:rPr>
          <w:lang w:val="en-GB"/>
        </w:rPr>
        <w:t>1</w:t>
      </w:r>
      <w:r w:rsidRPr="003F76FF">
        <w:rPr>
          <w:lang w:val="en-GB"/>
        </w:rPr>
        <w:fldChar w:fldCharType="end"/>
      </w:r>
      <w:r w:rsidRPr="003F76FF">
        <w:rPr>
          <w:lang w:val="en-GB"/>
        </w:rPr>
        <w:t xml:space="preserve"> – NR PSS-SSS acquisition time, in number of samples, required for a RedCap UE with 1Rx successfully detecting PSS and SSS in different scenarios in FR1 and FR2</w:t>
      </w:r>
    </w:p>
    <w:tbl>
      <w:tblPr>
        <w:tblStyle w:val="TableGrid"/>
        <w:tblW w:w="0" w:type="auto"/>
        <w:jc w:val="center"/>
        <w:tblLayout w:type="fixed"/>
        <w:tblLook w:val="04A0" w:firstRow="1" w:lastRow="0" w:firstColumn="1" w:lastColumn="0" w:noHBand="0" w:noVBand="1"/>
      </w:tblPr>
      <w:tblGrid>
        <w:gridCol w:w="2552"/>
        <w:gridCol w:w="987"/>
        <w:gridCol w:w="992"/>
        <w:gridCol w:w="993"/>
        <w:gridCol w:w="988"/>
      </w:tblGrid>
      <w:tr w:rsidR="003F76FF" w14:paraId="7C1A8D6C"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tcPr>
          <w:p w14:paraId="75224448" w14:textId="77777777" w:rsidR="003F76FF" w:rsidRDefault="003F76FF">
            <w:pPr>
              <w:jc w:val="center"/>
              <w:rPr>
                <w:rFonts w:cs="Times New Roman"/>
                <w:szCs w:val="20"/>
              </w:rPr>
            </w:pPr>
          </w:p>
        </w:tc>
        <w:tc>
          <w:tcPr>
            <w:tcW w:w="1979" w:type="dxa"/>
            <w:gridSpan w:val="2"/>
            <w:tcBorders>
              <w:top w:val="single" w:sz="4" w:space="0" w:color="auto"/>
              <w:left w:val="single" w:sz="4" w:space="0" w:color="auto"/>
              <w:bottom w:val="single" w:sz="4" w:space="0" w:color="auto"/>
              <w:right w:val="single" w:sz="4" w:space="0" w:color="auto"/>
            </w:tcBorders>
            <w:hideMark/>
          </w:tcPr>
          <w:p w14:paraId="3EA26AF4" w14:textId="77777777" w:rsidR="003F76FF" w:rsidRDefault="003F76FF">
            <w:pPr>
              <w:jc w:val="center"/>
              <w:rPr>
                <w:rFonts w:cs="Times New Roman"/>
                <w:szCs w:val="20"/>
              </w:rPr>
            </w:pPr>
            <w:r>
              <w:rPr>
                <w:rFonts w:cs="Times New Roman"/>
                <w:szCs w:val="20"/>
              </w:rPr>
              <w:t>Cell Id: 674</w:t>
            </w:r>
          </w:p>
        </w:tc>
        <w:tc>
          <w:tcPr>
            <w:tcW w:w="1981" w:type="dxa"/>
            <w:gridSpan w:val="2"/>
            <w:tcBorders>
              <w:top w:val="single" w:sz="4" w:space="0" w:color="auto"/>
              <w:left w:val="single" w:sz="4" w:space="0" w:color="auto"/>
              <w:bottom w:val="single" w:sz="4" w:space="0" w:color="auto"/>
              <w:right w:val="single" w:sz="4" w:space="0" w:color="auto"/>
            </w:tcBorders>
            <w:hideMark/>
          </w:tcPr>
          <w:p w14:paraId="77EDE296" w14:textId="77777777" w:rsidR="003F76FF" w:rsidRDefault="003F76FF">
            <w:pPr>
              <w:jc w:val="center"/>
              <w:rPr>
                <w:rFonts w:cs="Times New Roman"/>
                <w:szCs w:val="20"/>
              </w:rPr>
            </w:pPr>
            <w:r>
              <w:rPr>
                <w:rFonts w:cs="Times New Roman"/>
                <w:szCs w:val="20"/>
              </w:rPr>
              <w:t>Cell Id: 673</w:t>
            </w:r>
          </w:p>
        </w:tc>
      </w:tr>
      <w:tr w:rsidR="003F76FF" w14:paraId="7046BBD3"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tcPr>
          <w:p w14:paraId="21B06F08" w14:textId="77777777" w:rsidR="003F76FF" w:rsidRDefault="003F76FF">
            <w:pPr>
              <w:jc w:val="center"/>
              <w:rPr>
                <w:rFonts w:cs="Times New Roman"/>
                <w:szCs w:val="20"/>
              </w:rPr>
            </w:pPr>
          </w:p>
        </w:tc>
        <w:tc>
          <w:tcPr>
            <w:tcW w:w="987" w:type="dxa"/>
            <w:tcBorders>
              <w:top w:val="single" w:sz="4" w:space="0" w:color="auto"/>
              <w:left w:val="single" w:sz="4" w:space="0" w:color="auto"/>
              <w:bottom w:val="single" w:sz="4" w:space="0" w:color="auto"/>
              <w:right w:val="single" w:sz="4" w:space="0" w:color="auto"/>
            </w:tcBorders>
            <w:hideMark/>
          </w:tcPr>
          <w:p w14:paraId="08A0570F" w14:textId="77777777" w:rsidR="003F76FF" w:rsidRDefault="003F76FF">
            <w:pPr>
              <w:jc w:val="center"/>
              <w:rPr>
                <w:rFonts w:cs="Times New Roman"/>
                <w:szCs w:val="20"/>
              </w:rPr>
            </w:pPr>
            <w:r>
              <w:rPr>
                <w:rFonts w:cs="Times New Roman"/>
                <w:szCs w:val="20"/>
              </w:rPr>
              <w:t>Sync</w:t>
            </w:r>
          </w:p>
        </w:tc>
        <w:tc>
          <w:tcPr>
            <w:tcW w:w="992" w:type="dxa"/>
            <w:tcBorders>
              <w:top w:val="single" w:sz="4" w:space="0" w:color="auto"/>
              <w:left w:val="single" w:sz="4" w:space="0" w:color="auto"/>
              <w:bottom w:val="single" w:sz="4" w:space="0" w:color="auto"/>
              <w:right w:val="single" w:sz="4" w:space="0" w:color="auto"/>
            </w:tcBorders>
            <w:hideMark/>
          </w:tcPr>
          <w:p w14:paraId="0A388310" w14:textId="77777777" w:rsidR="003F76FF" w:rsidRDefault="003F76FF">
            <w:pPr>
              <w:jc w:val="center"/>
              <w:rPr>
                <w:rFonts w:cs="Times New Roman"/>
                <w:szCs w:val="20"/>
              </w:rPr>
            </w:pPr>
            <w:r>
              <w:rPr>
                <w:rFonts w:cs="Times New Roman"/>
                <w:szCs w:val="20"/>
              </w:rPr>
              <w:t>Async</w:t>
            </w:r>
          </w:p>
        </w:tc>
        <w:tc>
          <w:tcPr>
            <w:tcW w:w="993" w:type="dxa"/>
            <w:tcBorders>
              <w:top w:val="single" w:sz="4" w:space="0" w:color="auto"/>
              <w:left w:val="single" w:sz="4" w:space="0" w:color="auto"/>
              <w:bottom w:val="single" w:sz="4" w:space="0" w:color="auto"/>
              <w:right w:val="single" w:sz="4" w:space="0" w:color="auto"/>
            </w:tcBorders>
            <w:hideMark/>
          </w:tcPr>
          <w:p w14:paraId="3508C186" w14:textId="77777777" w:rsidR="003F76FF" w:rsidRDefault="003F76FF">
            <w:pPr>
              <w:jc w:val="center"/>
              <w:rPr>
                <w:rFonts w:cs="Times New Roman"/>
                <w:szCs w:val="20"/>
              </w:rPr>
            </w:pPr>
            <w:r>
              <w:rPr>
                <w:rFonts w:cs="Times New Roman"/>
                <w:szCs w:val="20"/>
              </w:rPr>
              <w:t>Sync</w:t>
            </w:r>
          </w:p>
        </w:tc>
        <w:tc>
          <w:tcPr>
            <w:tcW w:w="988" w:type="dxa"/>
            <w:tcBorders>
              <w:top w:val="single" w:sz="4" w:space="0" w:color="auto"/>
              <w:left w:val="single" w:sz="4" w:space="0" w:color="auto"/>
              <w:bottom w:val="single" w:sz="4" w:space="0" w:color="auto"/>
              <w:right w:val="single" w:sz="4" w:space="0" w:color="auto"/>
            </w:tcBorders>
            <w:hideMark/>
          </w:tcPr>
          <w:p w14:paraId="2BF4FAD0" w14:textId="77777777" w:rsidR="003F76FF" w:rsidRDefault="003F76FF">
            <w:pPr>
              <w:jc w:val="center"/>
              <w:rPr>
                <w:rFonts w:cs="Times New Roman"/>
                <w:szCs w:val="20"/>
              </w:rPr>
            </w:pPr>
            <w:r>
              <w:rPr>
                <w:rFonts w:cs="Times New Roman"/>
                <w:szCs w:val="20"/>
              </w:rPr>
              <w:t>Async</w:t>
            </w:r>
          </w:p>
        </w:tc>
      </w:tr>
      <w:tr w:rsidR="003F76FF" w14:paraId="2A3F189F"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vAlign w:val="bottom"/>
            <w:hideMark/>
          </w:tcPr>
          <w:p w14:paraId="64A08BAE" w14:textId="77777777" w:rsidR="003F76FF" w:rsidRDefault="003F76FF">
            <w:pPr>
              <w:jc w:val="center"/>
              <w:rPr>
                <w:rFonts w:cs="Times New Roman"/>
                <w:szCs w:val="20"/>
              </w:rPr>
            </w:pPr>
            <w:r>
              <w:rPr>
                <w:rFonts w:cs="Times New Roman"/>
                <w:color w:val="000000"/>
                <w:szCs w:val="20"/>
              </w:rPr>
              <w:t>FR1,15kHz,AWGN</w:t>
            </w:r>
          </w:p>
        </w:tc>
        <w:tc>
          <w:tcPr>
            <w:tcW w:w="987" w:type="dxa"/>
            <w:tcBorders>
              <w:top w:val="single" w:sz="4" w:space="0" w:color="auto"/>
              <w:left w:val="single" w:sz="4" w:space="0" w:color="auto"/>
              <w:bottom w:val="single" w:sz="4" w:space="0" w:color="auto"/>
              <w:right w:val="single" w:sz="4" w:space="0" w:color="auto"/>
            </w:tcBorders>
            <w:vAlign w:val="bottom"/>
            <w:hideMark/>
          </w:tcPr>
          <w:p w14:paraId="7E1B8021" w14:textId="77777777" w:rsidR="003F76FF" w:rsidRDefault="003F76FF">
            <w:pPr>
              <w:jc w:val="center"/>
              <w:rPr>
                <w:rFonts w:cs="Times New Roman"/>
                <w:szCs w:val="20"/>
              </w:rPr>
            </w:pPr>
            <w:r>
              <w:rPr>
                <w:rFonts w:ascii="Calibri" w:hAnsi="Calibri" w:cs="Calibri"/>
                <w:color w:val="000000"/>
                <w:sz w:val="22"/>
              </w:rPr>
              <w:t>1</w:t>
            </w:r>
          </w:p>
        </w:tc>
        <w:tc>
          <w:tcPr>
            <w:tcW w:w="992" w:type="dxa"/>
            <w:tcBorders>
              <w:top w:val="single" w:sz="4" w:space="0" w:color="auto"/>
              <w:left w:val="single" w:sz="4" w:space="0" w:color="auto"/>
              <w:bottom w:val="single" w:sz="4" w:space="0" w:color="auto"/>
              <w:right w:val="single" w:sz="4" w:space="0" w:color="auto"/>
            </w:tcBorders>
            <w:vAlign w:val="bottom"/>
            <w:hideMark/>
          </w:tcPr>
          <w:p w14:paraId="000F5DBD" w14:textId="77777777" w:rsidR="003F76FF" w:rsidRDefault="003F76FF">
            <w:pPr>
              <w:jc w:val="center"/>
              <w:rPr>
                <w:rFonts w:cs="Times New Roman"/>
                <w:szCs w:val="20"/>
              </w:rPr>
            </w:pPr>
            <w:r>
              <w:rPr>
                <w:rFonts w:ascii="Calibri" w:hAnsi="Calibri" w:cs="Calibri"/>
                <w:color w:val="000000"/>
                <w:sz w:val="22"/>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688BD6ED" w14:textId="77777777" w:rsidR="003F76FF" w:rsidRDefault="003F76FF">
            <w:pPr>
              <w:jc w:val="center"/>
              <w:rPr>
                <w:rFonts w:cs="Times New Roman"/>
                <w:szCs w:val="20"/>
              </w:rPr>
            </w:pPr>
            <w:r>
              <w:rPr>
                <w:rFonts w:ascii="Calibri" w:hAnsi="Calibri" w:cs="Calibri"/>
                <w:color w:val="000000"/>
                <w:sz w:val="22"/>
              </w:rPr>
              <w:t>1</w:t>
            </w:r>
          </w:p>
        </w:tc>
        <w:tc>
          <w:tcPr>
            <w:tcW w:w="988" w:type="dxa"/>
            <w:tcBorders>
              <w:top w:val="single" w:sz="4" w:space="0" w:color="auto"/>
              <w:left w:val="single" w:sz="4" w:space="0" w:color="auto"/>
              <w:bottom w:val="single" w:sz="4" w:space="0" w:color="auto"/>
              <w:right w:val="single" w:sz="4" w:space="0" w:color="auto"/>
            </w:tcBorders>
            <w:vAlign w:val="bottom"/>
            <w:hideMark/>
          </w:tcPr>
          <w:p w14:paraId="57C135F0" w14:textId="77777777" w:rsidR="003F76FF" w:rsidRDefault="003F76FF">
            <w:pPr>
              <w:jc w:val="center"/>
              <w:rPr>
                <w:rFonts w:cs="Times New Roman"/>
                <w:szCs w:val="20"/>
              </w:rPr>
            </w:pPr>
            <w:r>
              <w:rPr>
                <w:rFonts w:ascii="Calibri" w:hAnsi="Calibri" w:cs="Calibri"/>
                <w:color w:val="000000"/>
                <w:sz w:val="22"/>
              </w:rPr>
              <w:t>1</w:t>
            </w:r>
          </w:p>
        </w:tc>
      </w:tr>
      <w:tr w:rsidR="003F76FF" w14:paraId="4B668885"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vAlign w:val="bottom"/>
            <w:hideMark/>
          </w:tcPr>
          <w:p w14:paraId="51A05CD5" w14:textId="77777777" w:rsidR="003F76FF" w:rsidRDefault="003F76FF">
            <w:pPr>
              <w:jc w:val="center"/>
              <w:rPr>
                <w:rFonts w:cs="Times New Roman"/>
                <w:szCs w:val="20"/>
              </w:rPr>
            </w:pPr>
            <w:r>
              <w:rPr>
                <w:rFonts w:cs="Times New Roman"/>
                <w:color w:val="000000"/>
                <w:szCs w:val="20"/>
              </w:rPr>
              <w:t>FR1,30kHz,AWGN</w:t>
            </w:r>
          </w:p>
        </w:tc>
        <w:tc>
          <w:tcPr>
            <w:tcW w:w="987" w:type="dxa"/>
            <w:tcBorders>
              <w:top w:val="single" w:sz="4" w:space="0" w:color="auto"/>
              <w:left w:val="single" w:sz="4" w:space="0" w:color="auto"/>
              <w:bottom w:val="single" w:sz="4" w:space="0" w:color="auto"/>
              <w:right w:val="single" w:sz="4" w:space="0" w:color="auto"/>
            </w:tcBorders>
            <w:vAlign w:val="bottom"/>
            <w:hideMark/>
          </w:tcPr>
          <w:p w14:paraId="101645C0" w14:textId="77777777" w:rsidR="003F76FF" w:rsidRDefault="003F76FF">
            <w:pPr>
              <w:jc w:val="center"/>
              <w:rPr>
                <w:rFonts w:cs="Times New Roman"/>
                <w:szCs w:val="20"/>
              </w:rPr>
            </w:pPr>
            <w:r>
              <w:rPr>
                <w:rFonts w:ascii="Calibri" w:hAnsi="Calibri" w:cs="Calibri"/>
                <w:color w:val="000000"/>
                <w:sz w:val="22"/>
              </w:rPr>
              <w:t>1</w:t>
            </w:r>
          </w:p>
        </w:tc>
        <w:tc>
          <w:tcPr>
            <w:tcW w:w="992" w:type="dxa"/>
            <w:tcBorders>
              <w:top w:val="single" w:sz="4" w:space="0" w:color="auto"/>
              <w:left w:val="single" w:sz="4" w:space="0" w:color="auto"/>
              <w:bottom w:val="single" w:sz="4" w:space="0" w:color="auto"/>
              <w:right w:val="single" w:sz="4" w:space="0" w:color="auto"/>
            </w:tcBorders>
            <w:vAlign w:val="bottom"/>
            <w:hideMark/>
          </w:tcPr>
          <w:p w14:paraId="417E9F95" w14:textId="77777777" w:rsidR="003F76FF" w:rsidRDefault="003F76FF">
            <w:pPr>
              <w:jc w:val="center"/>
              <w:rPr>
                <w:rFonts w:cs="Times New Roman"/>
                <w:szCs w:val="20"/>
              </w:rPr>
            </w:pPr>
            <w:r>
              <w:rPr>
                <w:rFonts w:ascii="Calibri" w:hAnsi="Calibri" w:cs="Calibri"/>
                <w:color w:val="000000"/>
                <w:sz w:val="22"/>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1BCDFE3" w14:textId="77777777" w:rsidR="003F76FF" w:rsidRDefault="003F76FF">
            <w:pPr>
              <w:jc w:val="center"/>
              <w:rPr>
                <w:rFonts w:cs="Times New Roman"/>
                <w:szCs w:val="20"/>
              </w:rPr>
            </w:pPr>
            <w:r>
              <w:rPr>
                <w:rFonts w:ascii="Calibri" w:hAnsi="Calibri" w:cs="Calibri"/>
                <w:color w:val="000000"/>
                <w:sz w:val="22"/>
              </w:rPr>
              <w:t>1</w:t>
            </w:r>
          </w:p>
        </w:tc>
        <w:tc>
          <w:tcPr>
            <w:tcW w:w="988" w:type="dxa"/>
            <w:tcBorders>
              <w:top w:val="single" w:sz="4" w:space="0" w:color="auto"/>
              <w:left w:val="single" w:sz="4" w:space="0" w:color="auto"/>
              <w:bottom w:val="single" w:sz="4" w:space="0" w:color="auto"/>
              <w:right w:val="single" w:sz="4" w:space="0" w:color="auto"/>
            </w:tcBorders>
            <w:vAlign w:val="bottom"/>
            <w:hideMark/>
          </w:tcPr>
          <w:p w14:paraId="35E5C941" w14:textId="77777777" w:rsidR="003F76FF" w:rsidRDefault="003F76FF">
            <w:pPr>
              <w:jc w:val="center"/>
              <w:rPr>
                <w:rFonts w:cs="Times New Roman"/>
                <w:szCs w:val="20"/>
              </w:rPr>
            </w:pPr>
            <w:r>
              <w:rPr>
                <w:rFonts w:ascii="Calibri" w:hAnsi="Calibri" w:cs="Calibri"/>
                <w:color w:val="000000"/>
                <w:sz w:val="22"/>
              </w:rPr>
              <w:t>1</w:t>
            </w:r>
          </w:p>
        </w:tc>
      </w:tr>
      <w:tr w:rsidR="003F76FF" w14:paraId="3CADC65C"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vAlign w:val="bottom"/>
            <w:hideMark/>
          </w:tcPr>
          <w:p w14:paraId="37904237" w14:textId="77777777" w:rsidR="003F76FF" w:rsidRDefault="003F76FF">
            <w:pPr>
              <w:jc w:val="center"/>
              <w:rPr>
                <w:rFonts w:cs="Times New Roman"/>
                <w:szCs w:val="20"/>
              </w:rPr>
            </w:pPr>
            <w:r>
              <w:rPr>
                <w:rFonts w:cs="Times New Roman"/>
                <w:color w:val="000000"/>
                <w:szCs w:val="20"/>
              </w:rPr>
              <w:t>FR1,15kHz,TDLA 30 ns</w:t>
            </w:r>
          </w:p>
        </w:tc>
        <w:tc>
          <w:tcPr>
            <w:tcW w:w="987" w:type="dxa"/>
            <w:tcBorders>
              <w:top w:val="single" w:sz="4" w:space="0" w:color="auto"/>
              <w:left w:val="single" w:sz="4" w:space="0" w:color="auto"/>
              <w:bottom w:val="single" w:sz="4" w:space="0" w:color="auto"/>
              <w:right w:val="single" w:sz="4" w:space="0" w:color="auto"/>
            </w:tcBorders>
            <w:vAlign w:val="bottom"/>
            <w:hideMark/>
          </w:tcPr>
          <w:p w14:paraId="34490109" w14:textId="77777777" w:rsidR="003F76FF" w:rsidRDefault="003F76FF">
            <w:pPr>
              <w:jc w:val="center"/>
              <w:rPr>
                <w:rFonts w:cs="Times New Roman"/>
                <w:szCs w:val="20"/>
              </w:rPr>
            </w:pPr>
            <w:r>
              <w:rPr>
                <w:rFonts w:ascii="Calibri" w:hAnsi="Calibri" w:cs="Calibri"/>
                <w:color w:val="000000"/>
                <w:sz w:val="22"/>
              </w:rPr>
              <w:t>1</w:t>
            </w:r>
          </w:p>
        </w:tc>
        <w:tc>
          <w:tcPr>
            <w:tcW w:w="992" w:type="dxa"/>
            <w:tcBorders>
              <w:top w:val="single" w:sz="4" w:space="0" w:color="auto"/>
              <w:left w:val="single" w:sz="4" w:space="0" w:color="auto"/>
              <w:bottom w:val="single" w:sz="4" w:space="0" w:color="auto"/>
              <w:right w:val="single" w:sz="4" w:space="0" w:color="auto"/>
            </w:tcBorders>
            <w:vAlign w:val="bottom"/>
            <w:hideMark/>
          </w:tcPr>
          <w:p w14:paraId="6FB993ED" w14:textId="77777777" w:rsidR="003F76FF" w:rsidRDefault="003F76FF">
            <w:pPr>
              <w:jc w:val="center"/>
              <w:rPr>
                <w:rFonts w:cs="Times New Roman"/>
                <w:szCs w:val="20"/>
              </w:rPr>
            </w:pPr>
            <w:r>
              <w:rPr>
                <w:rFonts w:ascii="Calibri" w:hAnsi="Calibri" w:cs="Calibri"/>
                <w:color w:val="000000"/>
                <w:sz w:val="22"/>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D6CED40" w14:textId="77777777" w:rsidR="003F76FF" w:rsidRDefault="003F76FF">
            <w:pPr>
              <w:jc w:val="center"/>
              <w:rPr>
                <w:rFonts w:cs="Times New Roman"/>
                <w:szCs w:val="20"/>
              </w:rPr>
            </w:pPr>
            <w:r>
              <w:rPr>
                <w:rFonts w:ascii="Calibri" w:hAnsi="Calibri" w:cs="Calibri"/>
                <w:color w:val="000000"/>
                <w:sz w:val="22"/>
              </w:rPr>
              <w:t>1</w:t>
            </w:r>
          </w:p>
        </w:tc>
        <w:tc>
          <w:tcPr>
            <w:tcW w:w="988" w:type="dxa"/>
            <w:tcBorders>
              <w:top w:val="single" w:sz="4" w:space="0" w:color="auto"/>
              <w:left w:val="single" w:sz="4" w:space="0" w:color="auto"/>
              <w:bottom w:val="single" w:sz="4" w:space="0" w:color="auto"/>
              <w:right w:val="single" w:sz="4" w:space="0" w:color="auto"/>
            </w:tcBorders>
            <w:vAlign w:val="bottom"/>
            <w:hideMark/>
          </w:tcPr>
          <w:p w14:paraId="16D6775C" w14:textId="77777777" w:rsidR="003F76FF" w:rsidRDefault="003F76FF">
            <w:pPr>
              <w:jc w:val="center"/>
              <w:rPr>
                <w:rFonts w:cs="Times New Roman"/>
                <w:szCs w:val="20"/>
              </w:rPr>
            </w:pPr>
            <w:r>
              <w:rPr>
                <w:rFonts w:ascii="Calibri" w:hAnsi="Calibri" w:cs="Calibri"/>
                <w:color w:val="000000"/>
                <w:sz w:val="22"/>
              </w:rPr>
              <w:t>2</w:t>
            </w:r>
          </w:p>
        </w:tc>
      </w:tr>
      <w:tr w:rsidR="003F76FF" w14:paraId="61F05BEC"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vAlign w:val="bottom"/>
            <w:hideMark/>
          </w:tcPr>
          <w:p w14:paraId="719F8B44" w14:textId="77777777" w:rsidR="003F76FF" w:rsidRDefault="003F76FF">
            <w:pPr>
              <w:jc w:val="center"/>
              <w:rPr>
                <w:rFonts w:cs="Times New Roman"/>
                <w:szCs w:val="20"/>
              </w:rPr>
            </w:pPr>
            <w:r>
              <w:rPr>
                <w:rFonts w:cs="Times New Roman"/>
                <w:color w:val="000000"/>
                <w:szCs w:val="20"/>
              </w:rPr>
              <w:t>FR1,30kHz,TDLA 30 ns</w:t>
            </w:r>
          </w:p>
        </w:tc>
        <w:tc>
          <w:tcPr>
            <w:tcW w:w="987" w:type="dxa"/>
            <w:tcBorders>
              <w:top w:val="single" w:sz="4" w:space="0" w:color="auto"/>
              <w:left w:val="single" w:sz="4" w:space="0" w:color="auto"/>
              <w:bottom w:val="single" w:sz="4" w:space="0" w:color="auto"/>
              <w:right w:val="single" w:sz="4" w:space="0" w:color="auto"/>
            </w:tcBorders>
            <w:vAlign w:val="bottom"/>
            <w:hideMark/>
          </w:tcPr>
          <w:p w14:paraId="10AE935C" w14:textId="77777777" w:rsidR="003F76FF" w:rsidRDefault="003F76FF">
            <w:pPr>
              <w:jc w:val="center"/>
              <w:rPr>
                <w:rFonts w:cs="Times New Roman"/>
                <w:szCs w:val="20"/>
              </w:rPr>
            </w:pPr>
            <w:r>
              <w:rPr>
                <w:rFonts w:ascii="Calibri" w:hAnsi="Calibri" w:cs="Calibri"/>
                <w:color w:val="000000"/>
                <w:sz w:val="22"/>
              </w:rPr>
              <w:t>1</w:t>
            </w:r>
          </w:p>
        </w:tc>
        <w:tc>
          <w:tcPr>
            <w:tcW w:w="992" w:type="dxa"/>
            <w:tcBorders>
              <w:top w:val="single" w:sz="4" w:space="0" w:color="auto"/>
              <w:left w:val="single" w:sz="4" w:space="0" w:color="auto"/>
              <w:bottom w:val="single" w:sz="4" w:space="0" w:color="auto"/>
              <w:right w:val="single" w:sz="4" w:space="0" w:color="auto"/>
            </w:tcBorders>
            <w:vAlign w:val="bottom"/>
            <w:hideMark/>
          </w:tcPr>
          <w:p w14:paraId="1457FA61" w14:textId="77777777" w:rsidR="003F76FF" w:rsidRDefault="003F76FF">
            <w:pPr>
              <w:jc w:val="center"/>
              <w:rPr>
                <w:rFonts w:cs="Times New Roman"/>
                <w:szCs w:val="20"/>
              </w:rPr>
            </w:pPr>
            <w:r>
              <w:rPr>
                <w:rFonts w:ascii="Calibri" w:hAnsi="Calibri" w:cs="Calibri"/>
                <w:color w:val="000000"/>
                <w:sz w:val="22"/>
              </w:rPr>
              <w:t>2</w:t>
            </w:r>
          </w:p>
        </w:tc>
        <w:tc>
          <w:tcPr>
            <w:tcW w:w="993" w:type="dxa"/>
            <w:tcBorders>
              <w:top w:val="single" w:sz="4" w:space="0" w:color="auto"/>
              <w:left w:val="single" w:sz="4" w:space="0" w:color="auto"/>
              <w:bottom w:val="single" w:sz="4" w:space="0" w:color="auto"/>
              <w:right w:val="single" w:sz="4" w:space="0" w:color="auto"/>
            </w:tcBorders>
            <w:vAlign w:val="bottom"/>
            <w:hideMark/>
          </w:tcPr>
          <w:p w14:paraId="0E2D196F" w14:textId="77777777" w:rsidR="003F76FF" w:rsidRDefault="003F76FF">
            <w:pPr>
              <w:jc w:val="center"/>
              <w:rPr>
                <w:rFonts w:cs="Times New Roman"/>
                <w:szCs w:val="20"/>
              </w:rPr>
            </w:pPr>
            <w:r>
              <w:rPr>
                <w:rFonts w:ascii="Calibri" w:hAnsi="Calibri" w:cs="Calibri"/>
                <w:color w:val="000000"/>
                <w:sz w:val="22"/>
              </w:rPr>
              <w:t>1</w:t>
            </w:r>
          </w:p>
        </w:tc>
        <w:tc>
          <w:tcPr>
            <w:tcW w:w="988" w:type="dxa"/>
            <w:tcBorders>
              <w:top w:val="single" w:sz="4" w:space="0" w:color="auto"/>
              <w:left w:val="single" w:sz="4" w:space="0" w:color="auto"/>
              <w:bottom w:val="single" w:sz="4" w:space="0" w:color="auto"/>
              <w:right w:val="single" w:sz="4" w:space="0" w:color="auto"/>
            </w:tcBorders>
            <w:vAlign w:val="bottom"/>
            <w:hideMark/>
          </w:tcPr>
          <w:p w14:paraId="733561A8" w14:textId="77777777" w:rsidR="003F76FF" w:rsidRDefault="003F76FF">
            <w:pPr>
              <w:jc w:val="center"/>
              <w:rPr>
                <w:rFonts w:cs="Times New Roman"/>
                <w:szCs w:val="20"/>
              </w:rPr>
            </w:pPr>
            <w:r>
              <w:rPr>
                <w:rFonts w:ascii="Calibri" w:hAnsi="Calibri" w:cs="Calibri"/>
                <w:color w:val="000000"/>
                <w:sz w:val="22"/>
              </w:rPr>
              <w:t>1</w:t>
            </w:r>
          </w:p>
        </w:tc>
      </w:tr>
      <w:tr w:rsidR="003F76FF" w14:paraId="3F4ECA9B"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vAlign w:val="bottom"/>
            <w:hideMark/>
          </w:tcPr>
          <w:p w14:paraId="5D034A2B" w14:textId="77777777" w:rsidR="003F76FF" w:rsidRDefault="003F76FF">
            <w:pPr>
              <w:jc w:val="center"/>
              <w:rPr>
                <w:rFonts w:cs="Times New Roman"/>
                <w:szCs w:val="20"/>
              </w:rPr>
            </w:pPr>
            <w:r>
              <w:rPr>
                <w:rFonts w:cs="Times New Roman"/>
                <w:color w:val="000000"/>
                <w:szCs w:val="20"/>
              </w:rPr>
              <w:t>FR1,15kHz,TDLB 100 ns</w:t>
            </w:r>
          </w:p>
        </w:tc>
        <w:tc>
          <w:tcPr>
            <w:tcW w:w="987" w:type="dxa"/>
            <w:tcBorders>
              <w:top w:val="single" w:sz="4" w:space="0" w:color="auto"/>
              <w:left w:val="single" w:sz="4" w:space="0" w:color="auto"/>
              <w:bottom w:val="single" w:sz="4" w:space="0" w:color="auto"/>
              <w:right w:val="single" w:sz="4" w:space="0" w:color="auto"/>
            </w:tcBorders>
            <w:vAlign w:val="bottom"/>
            <w:hideMark/>
          </w:tcPr>
          <w:p w14:paraId="624140DD" w14:textId="77777777" w:rsidR="003F76FF" w:rsidRDefault="003F76FF">
            <w:pPr>
              <w:jc w:val="center"/>
              <w:rPr>
                <w:rFonts w:cs="Times New Roman"/>
                <w:szCs w:val="20"/>
              </w:rPr>
            </w:pPr>
            <w:r>
              <w:rPr>
                <w:rFonts w:ascii="Calibri" w:hAnsi="Calibri" w:cs="Calibri"/>
                <w:color w:val="000000"/>
                <w:sz w:val="22"/>
              </w:rPr>
              <w:t>1</w:t>
            </w:r>
          </w:p>
        </w:tc>
        <w:tc>
          <w:tcPr>
            <w:tcW w:w="992" w:type="dxa"/>
            <w:tcBorders>
              <w:top w:val="single" w:sz="4" w:space="0" w:color="auto"/>
              <w:left w:val="single" w:sz="4" w:space="0" w:color="auto"/>
              <w:bottom w:val="single" w:sz="4" w:space="0" w:color="auto"/>
              <w:right w:val="single" w:sz="4" w:space="0" w:color="auto"/>
            </w:tcBorders>
            <w:vAlign w:val="bottom"/>
            <w:hideMark/>
          </w:tcPr>
          <w:p w14:paraId="7C62580A" w14:textId="77777777" w:rsidR="003F76FF" w:rsidRDefault="003F76FF">
            <w:pPr>
              <w:jc w:val="center"/>
              <w:rPr>
                <w:rFonts w:cs="Times New Roman"/>
                <w:szCs w:val="20"/>
              </w:rPr>
            </w:pPr>
            <w:r>
              <w:rPr>
                <w:rFonts w:ascii="Calibri" w:hAnsi="Calibri" w:cs="Calibri"/>
                <w:color w:val="000000"/>
                <w:sz w:val="22"/>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63D87E34" w14:textId="77777777" w:rsidR="003F76FF" w:rsidRDefault="003F76FF">
            <w:pPr>
              <w:jc w:val="center"/>
              <w:rPr>
                <w:rFonts w:cs="Times New Roman"/>
                <w:szCs w:val="20"/>
              </w:rPr>
            </w:pPr>
            <w:r>
              <w:rPr>
                <w:rFonts w:ascii="Calibri" w:hAnsi="Calibri" w:cs="Calibri"/>
                <w:color w:val="000000"/>
                <w:sz w:val="22"/>
              </w:rPr>
              <w:t>1</w:t>
            </w:r>
          </w:p>
        </w:tc>
        <w:tc>
          <w:tcPr>
            <w:tcW w:w="988" w:type="dxa"/>
            <w:tcBorders>
              <w:top w:val="single" w:sz="4" w:space="0" w:color="auto"/>
              <w:left w:val="single" w:sz="4" w:space="0" w:color="auto"/>
              <w:bottom w:val="single" w:sz="4" w:space="0" w:color="auto"/>
              <w:right w:val="single" w:sz="4" w:space="0" w:color="auto"/>
            </w:tcBorders>
            <w:vAlign w:val="bottom"/>
            <w:hideMark/>
          </w:tcPr>
          <w:p w14:paraId="036E736D" w14:textId="77777777" w:rsidR="003F76FF" w:rsidRDefault="003F76FF">
            <w:pPr>
              <w:jc w:val="center"/>
              <w:rPr>
                <w:rFonts w:cs="Times New Roman"/>
                <w:szCs w:val="20"/>
              </w:rPr>
            </w:pPr>
            <w:r>
              <w:rPr>
                <w:rFonts w:ascii="Calibri" w:hAnsi="Calibri" w:cs="Calibri"/>
                <w:color w:val="000000"/>
                <w:sz w:val="22"/>
              </w:rPr>
              <w:t>1</w:t>
            </w:r>
          </w:p>
        </w:tc>
      </w:tr>
      <w:tr w:rsidR="003F76FF" w14:paraId="0888FEE8"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vAlign w:val="bottom"/>
            <w:hideMark/>
          </w:tcPr>
          <w:p w14:paraId="4CBF6404" w14:textId="77777777" w:rsidR="003F76FF" w:rsidRDefault="003F76FF">
            <w:pPr>
              <w:jc w:val="center"/>
              <w:rPr>
                <w:rFonts w:cs="Times New Roman"/>
                <w:szCs w:val="20"/>
              </w:rPr>
            </w:pPr>
            <w:r>
              <w:rPr>
                <w:rFonts w:cs="Times New Roman"/>
                <w:color w:val="000000"/>
                <w:szCs w:val="20"/>
              </w:rPr>
              <w:t>FR1,30kHz,TDLB 100 ns</w:t>
            </w:r>
          </w:p>
        </w:tc>
        <w:tc>
          <w:tcPr>
            <w:tcW w:w="987" w:type="dxa"/>
            <w:tcBorders>
              <w:top w:val="single" w:sz="4" w:space="0" w:color="auto"/>
              <w:left w:val="single" w:sz="4" w:space="0" w:color="auto"/>
              <w:bottom w:val="single" w:sz="4" w:space="0" w:color="auto"/>
              <w:right w:val="single" w:sz="4" w:space="0" w:color="auto"/>
            </w:tcBorders>
            <w:vAlign w:val="bottom"/>
            <w:hideMark/>
          </w:tcPr>
          <w:p w14:paraId="656CC0C5" w14:textId="77777777" w:rsidR="003F76FF" w:rsidRDefault="003F76FF">
            <w:pPr>
              <w:jc w:val="center"/>
              <w:rPr>
                <w:rFonts w:cs="Times New Roman"/>
                <w:szCs w:val="20"/>
              </w:rPr>
            </w:pPr>
            <w:r>
              <w:rPr>
                <w:rFonts w:ascii="Calibri" w:hAnsi="Calibri" w:cs="Calibri"/>
                <w:color w:val="000000"/>
                <w:sz w:val="22"/>
              </w:rPr>
              <w:t>1</w:t>
            </w:r>
          </w:p>
        </w:tc>
        <w:tc>
          <w:tcPr>
            <w:tcW w:w="992" w:type="dxa"/>
            <w:tcBorders>
              <w:top w:val="single" w:sz="4" w:space="0" w:color="auto"/>
              <w:left w:val="single" w:sz="4" w:space="0" w:color="auto"/>
              <w:bottom w:val="single" w:sz="4" w:space="0" w:color="auto"/>
              <w:right w:val="single" w:sz="4" w:space="0" w:color="auto"/>
            </w:tcBorders>
            <w:vAlign w:val="bottom"/>
            <w:hideMark/>
          </w:tcPr>
          <w:p w14:paraId="182C452C" w14:textId="77777777" w:rsidR="003F76FF" w:rsidRDefault="003F76FF">
            <w:pPr>
              <w:jc w:val="center"/>
              <w:rPr>
                <w:rFonts w:cs="Times New Roman"/>
                <w:szCs w:val="20"/>
              </w:rPr>
            </w:pPr>
            <w:r>
              <w:rPr>
                <w:rFonts w:ascii="Calibri" w:hAnsi="Calibri" w:cs="Calibri"/>
                <w:color w:val="000000"/>
                <w:sz w:val="22"/>
              </w:rPr>
              <w:t>2</w:t>
            </w:r>
          </w:p>
        </w:tc>
        <w:tc>
          <w:tcPr>
            <w:tcW w:w="993" w:type="dxa"/>
            <w:tcBorders>
              <w:top w:val="single" w:sz="4" w:space="0" w:color="auto"/>
              <w:left w:val="single" w:sz="4" w:space="0" w:color="auto"/>
              <w:bottom w:val="single" w:sz="4" w:space="0" w:color="auto"/>
              <w:right w:val="single" w:sz="4" w:space="0" w:color="auto"/>
            </w:tcBorders>
            <w:vAlign w:val="bottom"/>
            <w:hideMark/>
          </w:tcPr>
          <w:p w14:paraId="75666945" w14:textId="77777777" w:rsidR="003F76FF" w:rsidRDefault="003F76FF">
            <w:pPr>
              <w:jc w:val="center"/>
              <w:rPr>
                <w:rFonts w:cs="Times New Roman"/>
                <w:szCs w:val="20"/>
              </w:rPr>
            </w:pPr>
            <w:r>
              <w:rPr>
                <w:rFonts w:ascii="Calibri" w:hAnsi="Calibri" w:cs="Calibri"/>
                <w:color w:val="000000"/>
                <w:sz w:val="22"/>
              </w:rPr>
              <w:t>1</w:t>
            </w:r>
          </w:p>
        </w:tc>
        <w:tc>
          <w:tcPr>
            <w:tcW w:w="988" w:type="dxa"/>
            <w:tcBorders>
              <w:top w:val="single" w:sz="4" w:space="0" w:color="auto"/>
              <w:left w:val="single" w:sz="4" w:space="0" w:color="auto"/>
              <w:bottom w:val="single" w:sz="4" w:space="0" w:color="auto"/>
              <w:right w:val="single" w:sz="4" w:space="0" w:color="auto"/>
            </w:tcBorders>
            <w:vAlign w:val="bottom"/>
            <w:hideMark/>
          </w:tcPr>
          <w:p w14:paraId="74E1766C" w14:textId="77777777" w:rsidR="003F76FF" w:rsidRDefault="003F76FF">
            <w:pPr>
              <w:jc w:val="center"/>
              <w:rPr>
                <w:rFonts w:cs="Times New Roman"/>
                <w:szCs w:val="20"/>
              </w:rPr>
            </w:pPr>
            <w:r>
              <w:rPr>
                <w:rFonts w:ascii="Calibri" w:hAnsi="Calibri" w:cs="Calibri"/>
                <w:color w:val="000000"/>
                <w:sz w:val="22"/>
              </w:rPr>
              <w:t>1</w:t>
            </w:r>
          </w:p>
        </w:tc>
      </w:tr>
      <w:tr w:rsidR="003F76FF" w14:paraId="19FCFD21"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vAlign w:val="bottom"/>
            <w:hideMark/>
          </w:tcPr>
          <w:p w14:paraId="0AA7AC87" w14:textId="77777777" w:rsidR="003F76FF" w:rsidRDefault="003F76FF">
            <w:pPr>
              <w:jc w:val="center"/>
              <w:rPr>
                <w:rFonts w:cs="Times New Roman"/>
                <w:szCs w:val="20"/>
              </w:rPr>
            </w:pPr>
            <w:r>
              <w:rPr>
                <w:rFonts w:cs="Times New Roman"/>
                <w:color w:val="000000"/>
                <w:szCs w:val="20"/>
              </w:rPr>
              <w:t>FR1,15kHz,TDLC 300 ns</w:t>
            </w:r>
          </w:p>
        </w:tc>
        <w:tc>
          <w:tcPr>
            <w:tcW w:w="987" w:type="dxa"/>
            <w:tcBorders>
              <w:top w:val="single" w:sz="4" w:space="0" w:color="auto"/>
              <w:left w:val="single" w:sz="4" w:space="0" w:color="auto"/>
              <w:bottom w:val="single" w:sz="4" w:space="0" w:color="auto"/>
              <w:right w:val="single" w:sz="4" w:space="0" w:color="auto"/>
            </w:tcBorders>
            <w:vAlign w:val="bottom"/>
            <w:hideMark/>
          </w:tcPr>
          <w:p w14:paraId="5D926AE4" w14:textId="77777777" w:rsidR="003F76FF" w:rsidRDefault="003F76FF">
            <w:pPr>
              <w:jc w:val="center"/>
              <w:rPr>
                <w:rFonts w:cs="Times New Roman"/>
                <w:szCs w:val="20"/>
              </w:rPr>
            </w:pPr>
            <w:r>
              <w:rPr>
                <w:rFonts w:ascii="Calibri" w:hAnsi="Calibri" w:cs="Calibri"/>
                <w:color w:val="000000"/>
                <w:sz w:val="22"/>
              </w:rPr>
              <w:t>1</w:t>
            </w:r>
          </w:p>
        </w:tc>
        <w:tc>
          <w:tcPr>
            <w:tcW w:w="992" w:type="dxa"/>
            <w:tcBorders>
              <w:top w:val="single" w:sz="4" w:space="0" w:color="auto"/>
              <w:left w:val="single" w:sz="4" w:space="0" w:color="auto"/>
              <w:bottom w:val="single" w:sz="4" w:space="0" w:color="auto"/>
              <w:right w:val="single" w:sz="4" w:space="0" w:color="auto"/>
            </w:tcBorders>
            <w:vAlign w:val="bottom"/>
            <w:hideMark/>
          </w:tcPr>
          <w:p w14:paraId="551BA157" w14:textId="77777777" w:rsidR="003F76FF" w:rsidRDefault="003F76FF">
            <w:pPr>
              <w:jc w:val="center"/>
              <w:rPr>
                <w:rFonts w:cs="Times New Roman"/>
                <w:szCs w:val="20"/>
              </w:rPr>
            </w:pPr>
            <w:r>
              <w:rPr>
                <w:rFonts w:ascii="Calibri" w:hAnsi="Calibri" w:cs="Calibri"/>
                <w:color w:val="000000"/>
                <w:sz w:val="22"/>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200971C1" w14:textId="77777777" w:rsidR="003F76FF" w:rsidRDefault="003F76FF">
            <w:pPr>
              <w:jc w:val="center"/>
              <w:rPr>
                <w:rFonts w:cs="Times New Roman"/>
                <w:szCs w:val="20"/>
              </w:rPr>
            </w:pPr>
            <w:r>
              <w:rPr>
                <w:rFonts w:ascii="Calibri" w:hAnsi="Calibri" w:cs="Calibri"/>
                <w:color w:val="000000"/>
                <w:sz w:val="22"/>
              </w:rPr>
              <w:t>1</w:t>
            </w:r>
          </w:p>
        </w:tc>
        <w:tc>
          <w:tcPr>
            <w:tcW w:w="988" w:type="dxa"/>
            <w:tcBorders>
              <w:top w:val="single" w:sz="4" w:space="0" w:color="auto"/>
              <w:left w:val="single" w:sz="4" w:space="0" w:color="auto"/>
              <w:bottom w:val="single" w:sz="4" w:space="0" w:color="auto"/>
              <w:right w:val="single" w:sz="4" w:space="0" w:color="auto"/>
            </w:tcBorders>
            <w:vAlign w:val="bottom"/>
            <w:hideMark/>
          </w:tcPr>
          <w:p w14:paraId="255DC937" w14:textId="77777777" w:rsidR="003F76FF" w:rsidRDefault="003F76FF">
            <w:pPr>
              <w:jc w:val="center"/>
              <w:rPr>
                <w:rFonts w:cs="Times New Roman"/>
                <w:szCs w:val="20"/>
              </w:rPr>
            </w:pPr>
            <w:r>
              <w:rPr>
                <w:rFonts w:ascii="Calibri" w:hAnsi="Calibri" w:cs="Calibri"/>
                <w:color w:val="000000"/>
                <w:sz w:val="22"/>
              </w:rPr>
              <w:t>1</w:t>
            </w:r>
          </w:p>
        </w:tc>
      </w:tr>
      <w:tr w:rsidR="003F76FF" w14:paraId="50EDDEA9"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vAlign w:val="bottom"/>
            <w:hideMark/>
          </w:tcPr>
          <w:p w14:paraId="19878CAB" w14:textId="77777777" w:rsidR="003F76FF" w:rsidRDefault="003F76FF">
            <w:pPr>
              <w:jc w:val="center"/>
              <w:rPr>
                <w:rFonts w:cs="Times New Roman"/>
                <w:szCs w:val="20"/>
              </w:rPr>
            </w:pPr>
            <w:r>
              <w:rPr>
                <w:rFonts w:cs="Times New Roman"/>
                <w:color w:val="000000"/>
                <w:szCs w:val="20"/>
              </w:rPr>
              <w:t>FR1,30kHz,TDLC 300 ns</w:t>
            </w:r>
          </w:p>
        </w:tc>
        <w:tc>
          <w:tcPr>
            <w:tcW w:w="987" w:type="dxa"/>
            <w:tcBorders>
              <w:top w:val="single" w:sz="4" w:space="0" w:color="auto"/>
              <w:left w:val="single" w:sz="4" w:space="0" w:color="auto"/>
              <w:bottom w:val="single" w:sz="4" w:space="0" w:color="auto"/>
              <w:right w:val="single" w:sz="4" w:space="0" w:color="auto"/>
            </w:tcBorders>
            <w:vAlign w:val="bottom"/>
            <w:hideMark/>
          </w:tcPr>
          <w:p w14:paraId="002C4003" w14:textId="77777777" w:rsidR="003F76FF" w:rsidRDefault="003F76FF">
            <w:pPr>
              <w:jc w:val="center"/>
              <w:rPr>
                <w:rFonts w:cs="Times New Roman"/>
                <w:szCs w:val="20"/>
              </w:rPr>
            </w:pPr>
            <w:r>
              <w:rPr>
                <w:rFonts w:ascii="Calibri" w:hAnsi="Calibri" w:cs="Calibri"/>
                <w:color w:val="000000"/>
                <w:sz w:val="22"/>
              </w:rPr>
              <w:t>1</w:t>
            </w:r>
          </w:p>
        </w:tc>
        <w:tc>
          <w:tcPr>
            <w:tcW w:w="992" w:type="dxa"/>
            <w:tcBorders>
              <w:top w:val="single" w:sz="4" w:space="0" w:color="auto"/>
              <w:left w:val="single" w:sz="4" w:space="0" w:color="auto"/>
              <w:bottom w:val="single" w:sz="4" w:space="0" w:color="auto"/>
              <w:right w:val="single" w:sz="4" w:space="0" w:color="auto"/>
            </w:tcBorders>
            <w:vAlign w:val="bottom"/>
            <w:hideMark/>
          </w:tcPr>
          <w:p w14:paraId="3CA055EF" w14:textId="77777777" w:rsidR="003F76FF" w:rsidRDefault="003F76FF">
            <w:pPr>
              <w:jc w:val="center"/>
              <w:rPr>
                <w:rFonts w:cs="Times New Roman"/>
                <w:szCs w:val="20"/>
              </w:rPr>
            </w:pPr>
            <w:r>
              <w:rPr>
                <w:rFonts w:ascii="Calibri" w:hAnsi="Calibri" w:cs="Calibri"/>
                <w:color w:val="000000"/>
                <w:sz w:val="22"/>
              </w:rPr>
              <w:t>2</w:t>
            </w:r>
          </w:p>
        </w:tc>
        <w:tc>
          <w:tcPr>
            <w:tcW w:w="993" w:type="dxa"/>
            <w:tcBorders>
              <w:top w:val="single" w:sz="4" w:space="0" w:color="auto"/>
              <w:left w:val="single" w:sz="4" w:space="0" w:color="auto"/>
              <w:bottom w:val="single" w:sz="4" w:space="0" w:color="auto"/>
              <w:right w:val="single" w:sz="4" w:space="0" w:color="auto"/>
            </w:tcBorders>
            <w:vAlign w:val="bottom"/>
            <w:hideMark/>
          </w:tcPr>
          <w:p w14:paraId="6E0D770F" w14:textId="77777777" w:rsidR="003F76FF" w:rsidRDefault="003F76FF">
            <w:pPr>
              <w:jc w:val="center"/>
              <w:rPr>
                <w:rFonts w:cs="Times New Roman"/>
                <w:szCs w:val="20"/>
              </w:rPr>
            </w:pPr>
            <w:r>
              <w:rPr>
                <w:rFonts w:ascii="Calibri" w:hAnsi="Calibri" w:cs="Calibri"/>
                <w:color w:val="000000"/>
                <w:sz w:val="22"/>
              </w:rPr>
              <w:t>1</w:t>
            </w:r>
          </w:p>
        </w:tc>
        <w:tc>
          <w:tcPr>
            <w:tcW w:w="988" w:type="dxa"/>
            <w:tcBorders>
              <w:top w:val="single" w:sz="4" w:space="0" w:color="auto"/>
              <w:left w:val="single" w:sz="4" w:space="0" w:color="auto"/>
              <w:bottom w:val="single" w:sz="4" w:space="0" w:color="auto"/>
              <w:right w:val="single" w:sz="4" w:space="0" w:color="auto"/>
            </w:tcBorders>
            <w:vAlign w:val="bottom"/>
            <w:hideMark/>
          </w:tcPr>
          <w:p w14:paraId="159D5C62" w14:textId="77777777" w:rsidR="003F76FF" w:rsidRDefault="003F76FF">
            <w:pPr>
              <w:jc w:val="center"/>
              <w:rPr>
                <w:rFonts w:cs="Times New Roman"/>
                <w:szCs w:val="20"/>
              </w:rPr>
            </w:pPr>
            <w:r>
              <w:rPr>
                <w:rFonts w:ascii="Calibri" w:hAnsi="Calibri" w:cs="Calibri"/>
                <w:color w:val="000000"/>
                <w:sz w:val="22"/>
              </w:rPr>
              <w:t>1</w:t>
            </w:r>
          </w:p>
        </w:tc>
      </w:tr>
      <w:tr w:rsidR="003F76FF" w14:paraId="518CAEFB"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vAlign w:val="bottom"/>
            <w:hideMark/>
          </w:tcPr>
          <w:p w14:paraId="5083E909" w14:textId="77777777" w:rsidR="003F76FF" w:rsidRDefault="003F76FF">
            <w:pPr>
              <w:jc w:val="center"/>
              <w:rPr>
                <w:rFonts w:cs="Times New Roman"/>
                <w:szCs w:val="20"/>
              </w:rPr>
            </w:pPr>
            <w:r>
              <w:rPr>
                <w:rFonts w:cs="Times New Roman"/>
                <w:color w:val="000000"/>
                <w:szCs w:val="20"/>
              </w:rPr>
              <w:t xml:space="preserve">FR2,120kHz,AWGN </w:t>
            </w:r>
          </w:p>
        </w:tc>
        <w:tc>
          <w:tcPr>
            <w:tcW w:w="987" w:type="dxa"/>
            <w:tcBorders>
              <w:top w:val="single" w:sz="4" w:space="0" w:color="auto"/>
              <w:left w:val="single" w:sz="4" w:space="0" w:color="auto"/>
              <w:bottom w:val="single" w:sz="4" w:space="0" w:color="auto"/>
              <w:right w:val="single" w:sz="4" w:space="0" w:color="auto"/>
            </w:tcBorders>
            <w:vAlign w:val="bottom"/>
            <w:hideMark/>
          </w:tcPr>
          <w:p w14:paraId="6F8FF0D5" w14:textId="77777777" w:rsidR="003F76FF" w:rsidRDefault="003F76FF">
            <w:pPr>
              <w:jc w:val="center"/>
              <w:rPr>
                <w:rFonts w:cs="Times New Roman"/>
                <w:szCs w:val="20"/>
              </w:rPr>
            </w:pPr>
            <w:r>
              <w:rPr>
                <w:rFonts w:ascii="Calibri" w:hAnsi="Calibri" w:cs="Calibri"/>
                <w:color w:val="000000"/>
                <w:sz w:val="22"/>
              </w:rPr>
              <w:t>1</w:t>
            </w:r>
          </w:p>
        </w:tc>
        <w:tc>
          <w:tcPr>
            <w:tcW w:w="992" w:type="dxa"/>
            <w:tcBorders>
              <w:top w:val="single" w:sz="4" w:space="0" w:color="auto"/>
              <w:left w:val="single" w:sz="4" w:space="0" w:color="auto"/>
              <w:bottom w:val="single" w:sz="4" w:space="0" w:color="auto"/>
              <w:right w:val="single" w:sz="4" w:space="0" w:color="auto"/>
            </w:tcBorders>
            <w:vAlign w:val="bottom"/>
            <w:hideMark/>
          </w:tcPr>
          <w:p w14:paraId="0017112C" w14:textId="77777777" w:rsidR="003F76FF" w:rsidRDefault="003F76FF">
            <w:pPr>
              <w:jc w:val="center"/>
              <w:rPr>
                <w:rFonts w:cs="Times New Roman"/>
                <w:szCs w:val="20"/>
              </w:rPr>
            </w:pPr>
            <w:r>
              <w:rPr>
                <w:rFonts w:ascii="Calibri" w:hAnsi="Calibri" w:cs="Calibri"/>
                <w:color w:val="000000"/>
                <w:sz w:val="22"/>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0FFA66C8" w14:textId="77777777" w:rsidR="003F76FF" w:rsidRDefault="003F76FF">
            <w:pPr>
              <w:jc w:val="center"/>
              <w:rPr>
                <w:rFonts w:cs="Times New Roman"/>
                <w:szCs w:val="20"/>
              </w:rPr>
            </w:pPr>
            <w:r>
              <w:rPr>
                <w:rFonts w:ascii="Calibri" w:hAnsi="Calibri" w:cs="Calibri"/>
                <w:color w:val="000000"/>
                <w:sz w:val="22"/>
              </w:rPr>
              <w:t>1</w:t>
            </w:r>
          </w:p>
        </w:tc>
        <w:tc>
          <w:tcPr>
            <w:tcW w:w="988" w:type="dxa"/>
            <w:tcBorders>
              <w:top w:val="single" w:sz="4" w:space="0" w:color="auto"/>
              <w:left w:val="single" w:sz="4" w:space="0" w:color="auto"/>
              <w:bottom w:val="single" w:sz="4" w:space="0" w:color="auto"/>
              <w:right w:val="single" w:sz="4" w:space="0" w:color="auto"/>
            </w:tcBorders>
            <w:vAlign w:val="bottom"/>
            <w:hideMark/>
          </w:tcPr>
          <w:p w14:paraId="1445B710" w14:textId="77777777" w:rsidR="003F76FF" w:rsidRDefault="003F76FF">
            <w:pPr>
              <w:jc w:val="center"/>
              <w:rPr>
                <w:rFonts w:cs="Times New Roman"/>
                <w:szCs w:val="20"/>
              </w:rPr>
            </w:pPr>
            <w:r>
              <w:rPr>
                <w:rFonts w:ascii="Calibri" w:hAnsi="Calibri" w:cs="Calibri"/>
                <w:color w:val="000000"/>
                <w:sz w:val="22"/>
              </w:rPr>
              <w:t>1</w:t>
            </w:r>
          </w:p>
        </w:tc>
      </w:tr>
      <w:tr w:rsidR="003F76FF" w14:paraId="6373D4A7"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vAlign w:val="bottom"/>
            <w:hideMark/>
          </w:tcPr>
          <w:p w14:paraId="1D21B67C" w14:textId="77777777" w:rsidR="003F76FF" w:rsidRDefault="003F76FF">
            <w:pPr>
              <w:jc w:val="center"/>
              <w:rPr>
                <w:rFonts w:cs="Times New Roman"/>
                <w:szCs w:val="20"/>
              </w:rPr>
            </w:pPr>
            <w:r>
              <w:rPr>
                <w:rFonts w:cs="Times New Roman"/>
                <w:color w:val="000000"/>
                <w:szCs w:val="20"/>
              </w:rPr>
              <w:t xml:space="preserve">FR2,240kHz,AWGN </w:t>
            </w:r>
          </w:p>
        </w:tc>
        <w:tc>
          <w:tcPr>
            <w:tcW w:w="987" w:type="dxa"/>
            <w:tcBorders>
              <w:top w:val="single" w:sz="4" w:space="0" w:color="auto"/>
              <w:left w:val="single" w:sz="4" w:space="0" w:color="auto"/>
              <w:bottom w:val="single" w:sz="4" w:space="0" w:color="auto"/>
              <w:right w:val="single" w:sz="4" w:space="0" w:color="auto"/>
            </w:tcBorders>
            <w:vAlign w:val="bottom"/>
            <w:hideMark/>
          </w:tcPr>
          <w:p w14:paraId="31627882" w14:textId="77777777" w:rsidR="003F76FF" w:rsidRDefault="003F76FF">
            <w:pPr>
              <w:jc w:val="center"/>
              <w:rPr>
                <w:rFonts w:cs="Times New Roman"/>
                <w:szCs w:val="20"/>
              </w:rPr>
            </w:pPr>
            <w:r>
              <w:rPr>
                <w:rFonts w:ascii="Calibri" w:hAnsi="Calibri" w:cs="Calibri"/>
                <w:color w:val="000000"/>
                <w:sz w:val="22"/>
              </w:rPr>
              <w:t>1</w:t>
            </w:r>
          </w:p>
        </w:tc>
        <w:tc>
          <w:tcPr>
            <w:tcW w:w="992" w:type="dxa"/>
            <w:tcBorders>
              <w:top w:val="single" w:sz="4" w:space="0" w:color="auto"/>
              <w:left w:val="single" w:sz="4" w:space="0" w:color="auto"/>
              <w:bottom w:val="single" w:sz="4" w:space="0" w:color="auto"/>
              <w:right w:val="single" w:sz="4" w:space="0" w:color="auto"/>
            </w:tcBorders>
            <w:vAlign w:val="bottom"/>
            <w:hideMark/>
          </w:tcPr>
          <w:p w14:paraId="29B5D551" w14:textId="77777777" w:rsidR="003F76FF" w:rsidRDefault="003F76FF">
            <w:pPr>
              <w:jc w:val="center"/>
              <w:rPr>
                <w:rFonts w:cs="Times New Roman"/>
                <w:szCs w:val="20"/>
              </w:rPr>
            </w:pPr>
            <w:r>
              <w:rPr>
                <w:rFonts w:ascii="Calibri" w:hAnsi="Calibri" w:cs="Calibri"/>
                <w:color w:val="000000"/>
                <w:sz w:val="22"/>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FC53FD8" w14:textId="77777777" w:rsidR="003F76FF" w:rsidRDefault="003F76FF">
            <w:pPr>
              <w:jc w:val="center"/>
              <w:rPr>
                <w:rFonts w:cs="Times New Roman"/>
                <w:szCs w:val="20"/>
              </w:rPr>
            </w:pPr>
            <w:r>
              <w:rPr>
                <w:rFonts w:ascii="Calibri" w:hAnsi="Calibri" w:cs="Calibri"/>
                <w:color w:val="000000"/>
                <w:sz w:val="22"/>
              </w:rPr>
              <w:t>1</w:t>
            </w:r>
          </w:p>
        </w:tc>
        <w:tc>
          <w:tcPr>
            <w:tcW w:w="988" w:type="dxa"/>
            <w:tcBorders>
              <w:top w:val="single" w:sz="4" w:space="0" w:color="auto"/>
              <w:left w:val="single" w:sz="4" w:space="0" w:color="auto"/>
              <w:bottom w:val="single" w:sz="4" w:space="0" w:color="auto"/>
              <w:right w:val="single" w:sz="4" w:space="0" w:color="auto"/>
            </w:tcBorders>
            <w:vAlign w:val="bottom"/>
            <w:hideMark/>
          </w:tcPr>
          <w:p w14:paraId="0D2F1CE2" w14:textId="77777777" w:rsidR="003F76FF" w:rsidRDefault="003F76FF">
            <w:pPr>
              <w:jc w:val="center"/>
              <w:rPr>
                <w:rFonts w:cs="Times New Roman"/>
                <w:szCs w:val="20"/>
              </w:rPr>
            </w:pPr>
            <w:r>
              <w:rPr>
                <w:rFonts w:ascii="Calibri" w:hAnsi="Calibri" w:cs="Calibri"/>
                <w:color w:val="000000"/>
                <w:sz w:val="22"/>
              </w:rPr>
              <w:t>1</w:t>
            </w:r>
          </w:p>
        </w:tc>
      </w:tr>
      <w:tr w:rsidR="003F76FF" w14:paraId="72504B79"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vAlign w:val="bottom"/>
            <w:hideMark/>
          </w:tcPr>
          <w:p w14:paraId="6DB2009A" w14:textId="77777777" w:rsidR="003F76FF" w:rsidRDefault="003F76FF">
            <w:pPr>
              <w:jc w:val="center"/>
              <w:rPr>
                <w:rFonts w:cs="Times New Roman"/>
                <w:szCs w:val="20"/>
              </w:rPr>
            </w:pPr>
            <w:r>
              <w:rPr>
                <w:rFonts w:cs="Times New Roman"/>
                <w:color w:val="000000"/>
                <w:szCs w:val="20"/>
              </w:rPr>
              <w:t>FR2,120kHz,TDLA 30 ns</w:t>
            </w:r>
          </w:p>
        </w:tc>
        <w:tc>
          <w:tcPr>
            <w:tcW w:w="987" w:type="dxa"/>
            <w:tcBorders>
              <w:top w:val="single" w:sz="4" w:space="0" w:color="auto"/>
              <w:left w:val="single" w:sz="4" w:space="0" w:color="auto"/>
              <w:bottom w:val="single" w:sz="4" w:space="0" w:color="auto"/>
              <w:right w:val="single" w:sz="4" w:space="0" w:color="auto"/>
            </w:tcBorders>
            <w:vAlign w:val="bottom"/>
            <w:hideMark/>
          </w:tcPr>
          <w:p w14:paraId="60CE1066" w14:textId="77777777" w:rsidR="003F76FF" w:rsidRDefault="003F76FF">
            <w:pPr>
              <w:jc w:val="center"/>
              <w:rPr>
                <w:rFonts w:cs="Times New Roman"/>
                <w:szCs w:val="20"/>
              </w:rPr>
            </w:pPr>
            <w:r>
              <w:rPr>
                <w:rFonts w:ascii="Calibri" w:hAnsi="Calibri" w:cs="Calibri"/>
                <w:color w:val="000000"/>
                <w:sz w:val="22"/>
              </w:rPr>
              <w:t>1</w:t>
            </w:r>
          </w:p>
        </w:tc>
        <w:tc>
          <w:tcPr>
            <w:tcW w:w="992" w:type="dxa"/>
            <w:tcBorders>
              <w:top w:val="single" w:sz="4" w:space="0" w:color="auto"/>
              <w:left w:val="single" w:sz="4" w:space="0" w:color="auto"/>
              <w:bottom w:val="single" w:sz="4" w:space="0" w:color="auto"/>
              <w:right w:val="single" w:sz="4" w:space="0" w:color="auto"/>
            </w:tcBorders>
            <w:vAlign w:val="bottom"/>
            <w:hideMark/>
          </w:tcPr>
          <w:p w14:paraId="5C580E04" w14:textId="77777777" w:rsidR="003F76FF" w:rsidRDefault="003F76FF">
            <w:pPr>
              <w:jc w:val="center"/>
              <w:rPr>
                <w:rFonts w:cs="Times New Roman"/>
                <w:szCs w:val="20"/>
              </w:rPr>
            </w:pPr>
            <w:r>
              <w:rPr>
                <w:rFonts w:ascii="Calibri" w:hAnsi="Calibri" w:cs="Calibri"/>
                <w:color w:val="000000"/>
                <w:sz w:val="22"/>
              </w:rPr>
              <w:t>2</w:t>
            </w:r>
          </w:p>
        </w:tc>
        <w:tc>
          <w:tcPr>
            <w:tcW w:w="993" w:type="dxa"/>
            <w:tcBorders>
              <w:top w:val="single" w:sz="4" w:space="0" w:color="auto"/>
              <w:left w:val="single" w:sz="4" w:space="0" w:color="auto"/>
              <w:bottom w:val="single" w:sz="4" w:space="0" w:color="auto"/>
              <w:right w:val="single" w:sz="4" w:space="0" w:color="auto"/>
            </w:tcBorders>
            <w:vAlign w:val="bottom"/>
            <w:hideMark/>
          </w:tcPr>
          <w:p w14:paraId="391E9E0C" w14:textId="77777777" w:rsidR="003F76FF" w:rsidRDefault="003F76FF">
            <w:pPr>
              <w:jc w:val="center"/>
              <w:rPr>
                <w:rFonts w:cs="Times New Roman"/>
                <w:szCs w:val="20"/>
              </w:rPr>
            </w:pPr>
            <w:r>
              <w:rPr>
                <w:rFonts w:ascii="Calibri" w:hAnsi="Calibri" w:cs="Calibri"/>
                <w:color w:val="000000"/>
                <w:sz w:val="22"/>
              </w:rPr>
              <w:t>1</w:t>
            </w:r>
          </w:p>
        </w:tc>
        <w:tc>
          <w:tcPr>
            <w:tcW w:w="988" w:type="dxa"/>
            <w:tcBorders>
              <w:top w:val="single" w:sz="4" w:space="0" w:color="auto"/>
              <w:left w:val="single" w:sz="4" w:space="0" w:color="auto"/>
              <w:bottom w:val="single" w:sz="4" w:space="0" w:color="auto"/>
              <w:right w:val="single" w:sz="4" w:space="0" w:color="auto"/>
            </w:tcBorders>
            <w:vAlign w:val="bottom"/>
            <w:hideMark/>
          </w:tcPr>
          <w:p w14:paraId="66A21018" w14:textId="77777777" w:rsidR="003F76FF" w:rsidRDefault="003F76FF">
            <w:pPr>
              <w:jc w:val="center"/>
              <w:rPr>
                <w:rFonts w:cs="Times New Roman"/>
                <w:szCs w:val="20"/>
              </w:rPr>
            </w:pPr>
            <w:r>
              <w:rPr>
                <w:rFonts w:ascii="Calibri" w:hAnsi="Calibri" w:cs="Calibri"/>
                <w:color w:val="000000"/>
                <w:sz w:val="22"/>
              </w:rPr>
              <w:t>1</w:t>
            </w:r>
          </w:p>
        </w:tc>
      </w:tr>
      <w:tr w:rsidR="003F76FF" w14:paraId="514EE1F6"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vAlign w:val="bottom"/>
            <w:hideMark/>
          </w:tcPr>
          <w:p w14:paraId="0D6C4A3C" w14:textId="77777777" w:rsidR="003F76FF" w:rsidRDefault="003F76FF">
            <w:pPr>
              <w:jc w:val="center"/>
              <w:rPr>
                <w:rFonts w:cs="Times New Roman"/>
                <w:color w:val="000000"/>
                <w:szCs w:val="20"/>
              </w:rPr>
            </w:pPr>
            <w:r>
              <w:rPr>
                <w:rFonts w:cs="Times New Roman"/>
                <w:color w:val="000000"/>
                <w:szCs w:val="20"/>
              </w:rPr>
              <w:t>FR2,240kHz,TDLA 30 ns</w:t>
            </w:r>
          </w:p>
        </w:tc>
        <w:tc>
          <w:tcPr>
            <w:tcW w:w="987" w:type="dxa"/>
            <w:tcBorders>
              <w:top w:val="single" w:sz="4" w:space="0" w:color="auto"/>
              <w:left w:val="single" w:sz="4" w:space="0" w:color="auto"/>
              <w:bottom w:val="single" w:sz="4" w:space="0" w:color="auto"/>
              <w:right w:val="single" w:sz="4" w:space="0" w:color="auto"/>
            </w:tcBorders>
            <w:vAlign w:val="bottom"/>
            <w:hideMark/>
          </w:tcPr>
          <w:p w14:paraId="0E689B38" w14:textId="77777777" w:rsidR="003F76FF" w:rsidRDefault="003F76FF">
            <w:pPr>
              <w:jc w:val="center"/>
              <w:rPr>
                <w:rFonts w:ascii="Calibri" w:hAnsi="Calibri" w:cs="Calibri"/>
                <w:color w:val="000000"/>
                <w:sz w:val="22"/>
              </w:rPr>
            </w:pPr>
            <w:r>
              <w:rPr>
                <w:rFonts w:ascii="Calibri" w:hAnsi="Calibri" w:cs="Calibri"/>
                <w:color w:val="000000"/>
                <w:sz w:val="22"/>
              </w:rPr>
              <w:t>1</w:t>
            </w:r>
          </w:p>
        </w:tc>
        <w:tc>
          <w:tcPr>
            <w:tcW w:w="992" w:type="dxa"/>
            <w:tcBorders>
              <w:top w:val="single" w:sz="4" w:space="0" w:color="auto"/>
              <w:left w:val="single" w:sz="4" w:space="0" w:color="auto"/>
              <w:bottom w:val="single" w:sz="4" w:space="0" w:color="auto"/>
              <w:right w:val="single" w:sz="4" w:space="0" w:color="auto"/>
            </w:tcBorders>
            <w:vAlign w:val="bottom"/>
            <w:hideMark/>
          </w:tcPr>
          <w:p w14:paraId="5E176864" w14:textId="77777777" w:rsidR="003F76FF" w:rsidRDefault="003F76FF">
            <w:pPr>
              <w:jc w:val="center"/>
              <w:rPr>
                <w:rFonts w:ascii="Calibri" w:hAnsi="Calibri" w:cs="Calibri"/>
                <w:color w:val="000000"/>
                <w:sz w:val="22"/>
              </w:rPr>
            </w:pPr>
            <w:r>
              <w:rPr>
                <w:rFonts w:ascii="Calibri" w:hAnsi="Calibri" w:cs="Calibri"/>
                <w:color w:val="000000"/>
                <w:sz w:val="22"/>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430CB53F" w14:textId="77777777" w:rsidR="003F76FF" w:rsidRDefault="003F76FF">
            <w:pPr>
              <w:jc w:val="center"/>
              <w:rPr>
                <w:rFonts w:ascii="Calibri" w:hAnsi="Calibri" w:cs="Calibri"/>
                <w:color w:val="000000"/>
                <w:sz w:val="22"/>
              </w:rPr>
            </w:pPr>
            <w:r>
              <w:rPr>
                <w:rFonts w:ascii="Calibri" w:hAnsi="Calibri" w:cs="Calibri"/>
                <w:color w:val="000000"/>
                <w:sz w:val="22"/>
              </w:rPr>
              <w:t>1</w:t>
            </w:r>
          </w:p>
        </w:tc>
        <w:tc>
          <w:tcPr>
            <w:tcW w:w="988" w:type="dxa"/>
            <w:tcBorders>
              <w:top w:val="single" w:sz="4" w:space="0" w:color="auto"/>
              <w:left w:val="single" w:sz="4" w:space="0" w:color="auto"/>
              <w:bottom w:val="single" w:sz="4" w:space="0" w:color="auto"/>
              <w:right w:val="single" w:sz="4" w:space="0" w:color="auto"/>
            </w:tcBorders>
            <w:vAlign w:val="bottom"/>
            <w:hideMark/>
          </w:tcPr>
          <w:p w14:paraId="59920176" w14:textId="77777777" w:rsidR="003F76FF" w:rsidRDefault="003F76FF">
            <w:pPr>
              <w:jc w:val="center"/>
              <w:rPr>
                <w:rFonts w:ascii="Calibri" w:hAnsi="Calibri" w:cs="Calibri"/>
                <w:color w:val="000000"/>
                <w:sz w:val="22"/>
              </w:rPr>
            </w:pPr>
            <w:r>
              <w:rPr>
                <w:rFonts w:ascii="Calibri" w:hAnsi="Calibri" w:cs="Calibri"/>
                <w:color w:val="000000"/>
                <w:sz w:val="22"/>
              </w:rPr>
              <w:t>1</w:t>
            </w:r>
          </w:p>
        </w:tc>
      </w:tr>
    </w:tbl>
    <w:p w14:paraId="0216C6D2" w14:textId="77777777" w:rsidR="003F76FF" w:rsidRPr="003F76FF" w:rsidRDefault="003F76FF" w:rsidP="003F76FF">
      <w:pPr>
        <w:rPr>
          <w:lang w:val="en-GB"/>
        </w:rPr>
      </w:pPr>
    </w:p>
    <w:sectPr w:rsidR="003F76FF" w:rsidRPr="003F76F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ACCE8" w14:textId="77777777" w:rsidR="00C151DF" w:rsidRDefault="00C151DF" w:rsidP="00001C9B">
      <w:pPr>
        <w:spacing w:after="0" w:line="240" w:lineRule="auto"/>
      </w:pPr>
      <w:r>
        <w:separator/>
      </w:r>
    </w:p>
  </w:endnote>
  <w:endnote w:type="continuationSeparator" w:id="0">
    <w:p w14:paraId="24FAF789" w14:textId="77777777" w:rsidR="00C151DF" w:rsidRDefault="00C151DF" w:rsidP="00001C9B">
      <w:pPr>
        <w:spacing w:after="0" w:line="240" w:lineRule="auto"/>
      </w:pPr>
      <w:r>
        <w:continuationSeparator/>
      </w:r>
    </w:p>
  </w:endnote>
  <w:endnote w:type="continuationNotice" w:id="1">
    <w:p w14:paraId="0228DFD8" w14:textId="77777777" w:rsidR="00C151DF" w:rsidRDefault="00C151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58430" w14:textId="77777777" w:rsidR="00C151DF" w:rsidRDefault="00C151DF" w:rsidP="00001C9B">
      <w:pPr>
        <w:spacing w:after="0" w:line="240" w:lineRule="auto"/>
      </w:pPr>
      <w:r>
        <w:separator/>
      </w:r>
    </w:p>
  </w:footnote>
  <w:footnote w:type="continuationSeparator" w:id="0">
    <w:p w14:paraId="37D199F6" w14:textId="77777777" w:rsidR="00C151DF" w:rsidRDefault="00C151DF" w:rsidP="00001C9B">
      <w:pPr>
        <w:spacing w:after="0" w:line="240" w:lineRule="auto"/>
      </w:pPr>
      <w:r>
        <w:continuationSeparator/>
      </w:r>
    </w:p>
  </w:footnote>
  <w:footnote w:type="continuationNotice" w:id="1">
    <w:p w14:paraId="14C06B58" w14:textId="77777777" w:rsidR="00C151DF" w:rsidRDefault="00C151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cs="Times New Roman" w:hint="default"/>
      </w:rPr>
    </w:lvl>
    <w:lvl w:ilvl="1" w:tplc="37949BB8">
      <w:numFmt w:val="bullet"/>
      <w:lvlText w:val="•"/>
      <w:lvlJc w:val="left"/>
      <w:pPr>
        <w:tabs>
          <w:tab w:val="num" w:pos="1440"/>
        </w:tabs>
        <w:ind w:left="1440" w:hanging="360"/>
      </w:pPr>
      <w:rPr>
        <w:rFonts w:ascii="Arial" w:hAnsi="Arial" w:cs="Times New Roman" w:hint="default"/>
      </w:rPr>
    </w:lvl>
    <w:lvl w:ilvl="2" w:tplc="813A2188">
      <w:start w:val="1"/>
      <w:numFmt w:val="bullet"/>
      <w:lvlText w:val="•"/>
      <w:lvlJc w:val="left"/>
      <w:pPr>
        <w:tabs>
          <w:tab w:val="num" w:pos="2160"/>
        </w:tabs>
        <w:ind w:left="2160" w:hanging="360"/>
      </w:pPr>
      <w:rPr>
        <w:rFonts w:ascii="Arial" w:hAnsi="Arial" w:cs="Times New Roman" w:hint="default"/>
      </w:rPr>
    </w:lvl>
    <w:lvl w:ilvl="3" w:tplc="B142A624">
      <w:start w:val="1"/>
      <w:numFmt w:val="bullet"/>
      <w:lvlText w:val="•"/>
      <w:lvlJc w:val="left"/>
      <w:pPr>
        <w:tabs>
          <w:tab w:val="num" w:pos="2880"/>
        </w:tabs>
        <w:ind w:left="2880" w:hanging="360"/>
      </w:pPr>
      <w:rPr>
        <w:rFonts w:ascii="Arial" w:hAnsi="Arial" w:cs="Times New Roman" w:hint="default"/>
      </w:rPr>
    </w:lvl>
    <w:lvl w:ilvl="4" w:tplc="1B8AD944">
      <w:start w:val="1"/>
      <w:numFmt w:val="bullet"/>
      <w:lvlText w:val="•"/>
      <w:lvlJc w:val="left"/>
      <w:pPr>
        <w:tabs>
          <w:tab w:val="num" w:pos="3600"/>
        </w:tabs>
        <w:ind w:left="3600" w:hanging="360"/>
      </w:pPr>
      <w:rPr>
        <w:rFonts w:ascii="Arial" w:hAnsi="Arial" w:cs="Times New Roman" w:hint="default"/>
      </w:rPr>
    </w:lvl>
    <w:lvl w:ilvl="5" w:tplc="7E46C420">
      <w:start w:val="1"/>
      <w:numFmt w:val="bullet"/>
      <w:lvlText w:val="•"/>
      <w:lvlJc w:val="left"/>
      <w:pPr>
        <w:tabs>
          <w:tab w:val="num" w:pos="4320"/>
        </w:tabs>
        <w:ind w:left="4320" w:hanging="360"/>
      </w:pPr>
      <w:rPr>
        <w:rFonts w:ascii="Arial" w:hAnsi="Arial" w:cs="Times New Roman" w:hint="default"/>
      </w:rPr>
    </w:lvl>
    <w:lvl w:ilvl="6" w:tplc="728016E6">
      <w:start w:val="1"/>
      <w:numFmt w:val="bullet"/>
      <w:lvlText w:val="•"/>
      <w:lvlJc w:val="left"/>
      <w:pPr>
        <w:tabs>
          <w:tab w:val="num" w:pos="5040"/>
        </w:tabs>
        <w:ind w:left="5040" w:hanging="360"/>
      </w:pPr>
      <w:rPr>
        <w:rFonts w:ascii="Arial" w:hAnsi="Arial" w:cs="Times New Roman" w:hint="default"/>
      </w:rPr>
    </w:lvl>
    <w:lvl w:ilvl="7" w:tplc="D936940E">
      <w:start w:val="1"/>
      <w:numFmt w:val="bullet"/>
      <w:lvlText w:val="•"/>
      <w:lvlJc w:val="left"/>
      <w:pPr>
        <w:tabs>
          <w:tab w:val="num" w:pos="5760"/>
        </w:tabs>
        <w:ind w:left="5760" w:hanging="360"/>
      </w:pPr>
      <w:rPr>
        <w:rFonts w:ascii="Arial" w:hAnsi="Arial" w:cs="Times New Roman" w:hint="default"/>
      </w:rPr>
    </w:lvl>
    <w:lvl w:ilvl="8" w:tplc="45CAAFD4">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3AD37A3D"/>
    <w:multiLevelType w:val="multilevel"/>
    <w:tmpl w:val="1B667442"/>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lang w:val="en-US"/>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46B43B9D"/>
    <w:multiLevelType w:val="hybridMultilevel"/>
    <w:tmpl w:val="4E5A6202"/>
    <w:lvl w:ilvl="0" w:tplc="4308DBD8">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DD4C427C"/>
    <w:lvl w:ilvl="0" w:tplc="071AC574">
      <w:start w:val="1"/>
      <w:numFmt w:val="decimal"/>
      <w:pStyle w:val="RAN4proposal"/>
      <w:suff w:val="space"/>
      <w:lvlText w:val="Proposal %1:"/>
      <w:lvlJc w:val="left"/>
      <w:pPr>
        <w:ind w:left="360" w:hanging="360"/>
      </w:pPr>
      <w:rPr>
        <w:rFonts w:ascii="Times New Roman" w:hAnsi="Times New Roman" w:hint="default"/>
        <w:b/>
        <w:i w:val="0"/>
        <w:color w:val="auto"/>
        <w:sz w:val="20"/>
        <w:vertAlign w:val="baseline"/>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4"/>
  </w:num>
  <w:num w:numId="3">
    <w:abstractNumId w:val="5"/>
  </w:num>
  <w:num w:numId="4">
    <w:abstractNumId w:val="9"/>
  </w:num>
  <w:num w:numId="5">
    <w:abstractNumId w:val="8"/>
  </w:num>
  <w:num w:numId="6">
    <w:abstractNumId w:val="5"/>
    <w:lvlOverride w:ilvl="0">
      <w:startOverride w:val="1"/>
    </w:lvlOverride>
  </w:num>
  <w:num w:numId="7">
    <w:abstractNumId w:val="4"/>
    <w:lvlOverride w:ilvl="0">
      <w:startOverride w:val="1"/>
    </w:lvlOverride>
  </w:num>
  <w:num w:numId="8">
    <w:abstractNumId w:val="3"/>
  </w:num>
  <w:num w:numId="9">
    <w:abstractNumId w:val="7"/>
  </w:num>
  <w:num w:numId="10">
    <w:abstractNumId w:val="2"/>
  </w:num>
  <w:num w:numId="11">
    <w:abstractNumId w:val="1"/>
  </w:num>
  <w:num w:numId="12">
    <w:abstractNumId w:val="4"/>
    <w:lvlOverride w:ilvl="0">
      <w:startOverride w:val="1"/>
    </w:lvlOverride>
  </w:num>
  <w:num w:numId="13">
    <w:abstractNumId w:val="5"/>
    <w:lvlOverride w:ilvl="0">
      <w:startOverride w:val="1"/>
    </w:lvlOverride>
  </w:num>
  <w:num w:numId="1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4"/>
    <w:lvlOverride w:ilvl="0">
      <w:startOverride w:val="1"/>
    </w:lvlOverride>
  </w:num>
  <w:num w:numId="20">
    <w:abstractNumId w:val="5"/>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AUAEKNY1iwAAAA="/>
  </w:docVars>
  <w:rsids>
    <w:rsidRoot w:val="00841BCD"/>
    <w:rsid w:val="00001C9B"/>
    <w:rsid w:val="0008612A"/>
    <w:rsid w:val="00090E18"/>
    <w:rsid w:val="00095861"/>
    <w:rsid w:val="000B0056"/>
    <w:rsid w:val="000C473A"/>
    <w:rsid w:val="00122E13"/>
    <w:rsid w:val="00140221"/>
    <w:rsid w:val="00154530"/>
    <w:rsid w:val="001578C4"/>
    <w:rsid w:val="001609C2"/>
    <w:rsid w:val="001641A0"/>
    <w:rsid w:val="00173D88"/>
    <w:rsid w:val="001745F8"/>
    <w:rsid w:val="001838CF"/>
    <w:rsid w:val="001868EE"/>
    <w:rsid w:val="0018718A"/>
    <w:rsid w:val="001A3BA4"/>
    <w:rsid w:val="001D2044"/>
    <w:rsid w:val="001D48A4"/>
    <w:rsid w:val="001E30F6"/>
    <w:rsid w:val="001F66D4"/>
    <w:rsid w:val="002228F1"/>
    <w:rsid w:val="00235F5C"/>
    <w:rsid w:val="0024204D"/>
    <w:rsid w:val="00290C6C"/>
    <w:rsid w:val="002B4922"/>
    <w:rsid w:val="002B69F1"/>
    <w:rsid w:val="002C2D19"/>
    <w:rsid w:val="002D10FA"/>
    <w:rsid w:val="002D4C55"/>
    <w:rsid w:val="002F549C"/>
    <w:rsid w:val="00341B92"/>
    <w:rsid w:val="003424AE"/>
    <w:rsid w:val="003518DD"/>
    <w:rsid w:val="003519AF"/>
    <w:rsid w:val="00354AB1"/>
    <w:rsid w:val="00380737"/>
    <w:rsid w:val="003B659E"/>
    <w:rsid w:val="003C1C04"/>
    <w:rsid w:val="003D59A9"/>
    <w:rsid w:val="003F76FF"/>
    <w:rsid w:val="00405027"/>
    <w:rsid w:val="00416C69"/>
    <w:rsid w:val="00424682"/>
    <w:rsid w:val="0043750A"/>
    <w:rsid w:val="00440276"/>
    <w:rsid w:val="00463E28"/>
    <w:rsid w:val="004854BB"/>
    <w:rsid w:val="004D2245"/>
    <w:rsid w:val="004D3A4E"/>
    <w:rsid w:val="004E5E66"/>
    <w:rsid w:val="005000FB"/>
    <w:rsid w:val="00503B4D"/>
    <w:rsid w:val="00504EE9"/>
    <w:rsid w:val="00506CD5"/>
    <w:rsid w:val="00521A31"/>
    <w:rsid w:val="0054442C"/>
    <w:rsid w:val="00550285"/>
    <w:rsid w:val="005617DB"/>
    <w:rsid w:val="00570748"/>
    <w:rsid w:val="005717C7"/>
    <w:rsid w:val="00572D02"/>
    <w:rsid w:val="005836F8"/>
    <w:rsid w:val="005918FA"/>
    <w:rsid w:val="005B6B56"/>
    <w:rsid w:val="005C23A4"/>
    <w:rsid w:val="005D1CDF"/>
    <w:rsid w:val="005E61A8"/>
    <w:rsid w:val="005F6419"/>
    <w:rsid w:val="00610BC8"/>
    <w:rsid w:val="00617400"/>
    <w:rsid w:val="00634E1A"/>
    <w:rsid w:val="00664950"/>
    <w:rsid w:val="00664B37"/>
    <w:rsid w:val="00674DB1"/>
    <w:rsid w:val="00683220"/>
    <w:rsid w:val="00683D12"/>
    <w:rsid w:val="006851A8"/>
    <w:rsid w:val="00687FA0"/>
    <w:rsid w:val="006B7010"/>
    <w:rsid w:val="006E6311"/>
    <w:rsid w:val="007145FF"/>
    <w:rsid w:val="00740F57"/>
    <w:rsid w:val="00751515"/>
    <w:rsid w:val="00784DF6"/>
    <w:rsid w:val="00785232"/>
    <w:rsid w:val="007B5FD3"/>
    <w:rsid w:val="007C3ED0"/>
    <w:rsid w:val="007D7D15"/>
    <w:rsid w:val="007F46B1"/>
    <w:rsid w:val="00806A76"/>
    <w:rsid w:val="00811C9D"/>
    <w:rsid w:val="00816C80"/>
    <w:rsid w:val="00841BCD"/>
    <w:rsid w:val="008472D6"/>
    <w:rsid w:val="00851A8E"/>
    <w:rsid w:val="008746AE"/>
    <w:rsid w:val="008763D8"/>
    <w:rsid w:val="00880F24"/>
    <w:rsid w:val="008826C1"/>
    <w:rsid w:val="008A0119"/>
    <w:rsid w:val="0090091A"/>
    <w:rsid w:val="009042BD"/>
    <w:rsid w:val="00922B76"/>
    <w:rsid w:val="009235F2"/>
    <w:rsid w:val="00936485"/>
    <w:rsid w:val="00977E1D"/>
    <w:rsid w:val="009D7278"/>
    <w:rsid w:val="009F24A0"/>
    <w:rsid w:val="00A21D71"/>
    <w:rsid w:val="00A22B78"/>
    <w:rsid w:val="00A25AE5"/>
    <w:rsid w:val="00A265DD"/>
    <w:rsid w:val="00A37002"/>
    <w:rsid w:val="00A45502"/>
    <w:rsid w:val="00A80857"/>
    <w:rsid w:val="00A91ED2"/>
    <w:rsid w:val="00AA1B0E"/>
    <w:rsid w:val="00AC5CA7"/>
    <w:rsid w:val="00AE2BA5"/>
    <w:rsid w:val="00AE49AE"/>
    <w:rsid w:val="00AE56B1"/>
    <w:rsid w:val="00AF7B58"/>
    <w:rsid w:val="00B02190"/>
    <w:rsid w:val="00B13B71"/>
    <w:rsid w:val="00B73862"/>
    <w:rsid w:val="00B768AD"/>
    <w:rsid w:val="00B833B3"/>
    <w:rsid w:val="00B90985"/>
    <w:rsid w:val="00BA6E48"/>
    <w:rsid w:val="00BB2791"/>
    <w:rsid w:val="00BB4E37"/>
    <w:rsid w:val="00BC54B6"/>
    <w:rsid w:val="00BF2218"/>
    <w:rsid w:val="00C068BA"/>
    <w:rsid w:val="00C151DF"/>
    <w:rsid w:val="00C202AD"/>
    <w:rsid w:val="00C2170E"/>
    <w:rsid w:val="00C21EBF"/>
    <w:rsid w:val="00C63A1A"/>
    <w:rsid w:val="00C64124"/>
    <w:rsid w:val="00C7099F"/>
    <w:rsid w:val="00C74F83"/>
    <w:rsid w:val="00C95B26"/>
    <w:rsid w:val="00CD7492"/>
    <w:rsid w:val="00CE1438"/>
    <w:rsid w:val="00CE3A6B"/>
    <w:rsid w:val="00D00211"/>
    <w:rsid w:val="00D06309"/>
    <w:rsid w:val="00D16EDC"/>
    <w:rsid w:val="00D178A2"/>
    <w:rsid w:val="00D23AA4"/>
    <w:rsid w:val="00D351EA"/>
    <w:rsid w:val="00D43403"/>
    <w:rsid w:val="00D62E71"/>
    <w:rsid w:val="00D66188"/>
    <w:rsid w:val="00D67695"/>
    <w:rsid w:val="00D708FE"/>
    <w:rsid w:val="00D71ADA"/>
    <w:rsid w:val="00D740CA"/>
    <w:rsid w:val="00D85728"/>
    <w:rsid w:val="00D92E3A"/>
    <w:rsid w:val="00DF2997"/>
    <w:rsid w:val="00E004EB"/>
    <w:rsid w:val="00E06E30"/>
    <w:rsid w:val="00E720D2"/>
    <w:rsid w:val="00EC1EEF"/>
    <w:rsid w:val="00EC7BC3"/>
    <w:rsid w:val="00ED75AE"/>
    <w:rsid w:val="00ED7600"/>
    <w:rsid w:val="00EF4B2B"/>
    <w:rsid w:val="00F11834"/>
    <w:rsid w:val="00F11A49"/>
    <w:rsid w:val="00F1362C"/>
    <w:rsid w:val="00F25FA8"/>
    <w:rsid w:val="00F508B8"/>
    <w:rsid w:val="00F52EB9"/>
    <w:rsid w:val="00F54613"/>
    <w:rsid w:val="00F824F5"/>
    <w:rsid w:val="00FC29B9"/>
    <w:rsid w:val="00FC6FD3"/>
    <w:rsid w:val="00FC72D5"/>
    <w:rsid w:val="00FD099C"/>
    <w:rsid w:val="00FF0301"/>
    <w:rsid w:val="00FF596D"/>
    <w:rsid w:val="0609EC94"/>
    <w:rsid w:val="227ACCA6"/>
    <w:rsid w:val="2EF69F3C"/>
    <w:rsid w:val="611515BF"/>
    <w:rsid w:val="641DEF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7764AA"/>
  <w15:chartTrackingRefBased/>
  <w15:docId w15:val="{B8AAFFB5-4DD1-41BD-A15F-5241B994A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rsid w:val="00CE1438"/>
    <w:pPr>
      <w:spacing w:before="120" w:line="259" w:lineRule="auto"/>
      <w:ind w:left="1288" w:hanging="720"/>
      <w:outlineLvl w:val="2"/>
    </w:pPr>
    <w:rPr>
      <w:rFonts w:eastAsia="DengXian"/>
      <w:sz w:val="28"/>
      <w:szCs w:val="18"/>
      <w:lang w:val="sv-SE" w:eastAsia="zh-CN"/>
    </w:rPr>
  </w:style>
  <w:style w:type="paragraph" w:styleId="Heading4">
    <w:name w:val="heading 4"/>
    <w:basedOn w:val="Heading3"/>
    <w:next w:val="Normal"/>
    <w:link w:val="Heading4Char"/>
    <w:qFormat/>
    <w:rsid w:val="00CE1438"/>
    <w:pPr>
      <w:ind w:left="864" w:hanging="864"/>
      <w:outlineLvl w:val="3"/>
    </w:pPr>
    <w:rPr>
      <w:sz w:val="24"/>
    </w:rPr>
  </w:style>
  <w:style w:type="paragraph" w:styleId="Heading5">
    <w:name w:val="heading 5"/>
    <w:basedOn w:val="Heading4"/>
    <w:next w:val="Normal"/>
    <w:link w:val="Heading5Char"/>
    <w:qFormat/>
    <w:rsid w:val="00CE1438"/>
    <w:pPr>
      <w:ind w:left="1008" w:hanging="1008"/>
      <w:outlineLvl w:val="4"/>
    </w:pPr>
    <w:rPr>
      <w:sz w:val="22"/>
    </w:rPr>
  </w:style>
  <w:style w:type="paragraph" w:styleId="Heading6">
    <w:name w:val="heading 6"/>
    <w:basedOn w:val="Normal"/>
    <w:next w:val="Normal"/>
    <w:link w:val="Heading6Char"/>
    <w:qFormat/>
    <w:rsid w:val="00CE1438"/>
    <w:pPr>
      <w:keepNext/>
      <w:keepLines/>
      <w:spacing w:before="120" w:after="180"/>
      <w:ind w:left="1152" w:hanging="1152"/>
      <w:outlineLvl w:val="5"/>
    </w:pPr>
    <w:rPr>
      <w:rFonts w:ascii="Arial" w:eastAsia="DengXian" w:hAnsi="Arial" w:cs="Times New Roman"/>
      <w:szCs w:val="18"/>
      <w:lang w:val="sv-SE" w:eastAsia="zh-CN"/>
    </w:rPr>
  </w:style>
  <w:style w:type="paragraph" w:styleId="Heading7">
    <w:name w:val="heading 7"/>
    <w:basedOn w:val="Normal"/>
    <w:next w:val="Normal"/>
    <w:link w:val="Heading7Char"/>
    <w:qFormat/>
    <w:rsid w:val="00CE1438"/>
    <w:pPr>
      <w:keepNext/>
      <w:keepLines/>
      <w:spacing w:before="120" w:after="180"/>
      <w:ind w:left="1296" w:hanging="1296"/>
      <w:outlineLvl w:val="6"/>
    </w:pPr>
    <w:rPr>
      <w:rFonts w:ascii="Arial" w:eastAsia="DengXian" w:hAnsi="Arial" w:cs="Times New Roman"/>
      <w:szCs w:val="18"/>
      <w:lang w:val="sv-SE" w:eastAsia="zh-CN"/>
    </w:rPr>
  </w:style>
  <w:style w:type="paragraph" w:styleId="Heading8">
    <w:name w:val="heading 8"/>
    <w:basedOn w:val="Heading1"/>
    <w:next w:val="Normal"/>
    <w:link w:val="Heading8Char"/>
    <w:qFormat/>
    <w:rsid w:val="00CE1438"/>
    <w:pPr>
      <w:pBdr>
        <w:top w:val="single" w:sz="12" w:space="3" w:color="auto"/>
      </w:pBdr>
      <w:spacing w:after="180"/>
      <w:ind w:left="1440" w:hanging="1440"/>
      <w:outlineLvl w:val="7"/>
    </w:pPr>
    <w:rPr>
      <w:rFonts w:ascii="Arial" w:eastAsia="DengXian" w:hAnsi="Arial" w:cs="Times New Roman"/>
      <w:color w:val="auto"/>
      <w:sz w:val="36"/>
      <w:szCs w:val="20"/>
      <w:lang w:val="sv-SE"/>
    </w:rPr>
  </w:style>
  <w:style w:type="paragraph" w:styleId="Heading9">
    <w:name w:val="heading 9"/>
    <w:basedOn w:val="Heading8"/>
    <w:next w:val="Normal"/>
    <w:link w:val="Heading9Char"/>
    <w:qFormat/>
    <w:rsid w:val="00CE143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NormalWeb">
    <w:name w:val="Normal (Web)"/>
    <w:basedOn w:val="Normal"/>
    <w:uiPriority w:val="99"/>
    <w:unhideWhenUsed/>
    <w:rsid w:val="00440276"/>
    <w:pPr>
      <w:spacing w:before="100" w:beforeAutospacing="1" w:after="100" w:afterAutospacing="1" w:line="240" w:lineRule="auto"/>
    </w:pPr>
    <w:rPr>
      <w:rFonts w:eastAsia="Times New Roman" w:cs="Times New Roman"/>
      <w:sz w:val="24"/>
      <w:szCs w:val="24"/>
      <w:lang w:val="da-DK" w:eastAsia="da-DK"/>
    </w:rPr>
  </w:style>
  <w:style w:type="character" w:styleId="CommentReference">
    <w:name w:val="annotation reference"/>
    <w:basedOn w:val="DefaultParagraphFont"/>
    <w:uiPriority w:val="99"/>
    <w:semiHidden/>
    <w:unhideWhenUsed/>
    <w:rsid w:val="003519AF"/>
    <w:rPr>
      <w:sz w:val="16"/>
      <w:szCs w:val="16"/>
    </w:rPr>
  </w:style>
  <w:style w:type="paragraph" w:styleId="CommentText">
    <w:name w:val="annotation text"/>
    <w:basedOn w:val="Normal"/>
    <w:link w:val="CommentTextChar"/>
    <w:uiPriority w:val="99"/>
    <w:semiHidden/>
    <w:unhideWhenUsed/>
    <w:rsid w:val="003519AF"/>
    <w:pPr>
      <w:spacing w:line="240" w:lineRule="auto"/>
    </w:pPr>
    <w:rPr>
      <w:szCs w:val="20"/>
    </w:rPr>
  </w:style>
  <w:style w:type="character" w:customStyle="1" w:styleId="CommentTextChar">
    <w:name w:val="Comment Text Char"/>
    <w:basedOn w:val="DefaultParagraphFont"/>
    <w:link w:val="CommentText"/>
    <w:uiPriority w:val="99"/>
    <w:semiHidden/>
    <w:rsid w:val="003519A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519AF"/>
    <w:rPr>
      <w:b/>
      <w:bCs/>
    </w:rPr>
  </w:style>
  <w:style w:type="character" w:customStyle="1" w:styleId="CommentSubjectChar">
    <w:name w:val="Comment Subject Char"/>
    <w:basedOn w:val="CommentTextChar"/>
    <w:link w:val="CommentSubject"/>
    <w:uiPriority w:val="99"/>
    <w:semiHidden/>
    <w:rsid w:val="003519AF"/>
    <w:rPr>
      <w:rFonts w:ascii="Times New Roman" w:hAnsi="Times New Roman"/>
      <w:b/>
      <w:bCs/>
      <w:sz w:val="20"/>
      <w:szCs w:val="20"/>
    </w:rPr>
  </w:style>
  <w:style w:type="paragraph" w:styleId="Header">
    <w:name w:val="header"/>
    <w:basedOn w:val="Normal"/>
    <w:link w:val="HeaderChar"/>
    <w:uiPriority w:val="99"/>
    <w:unhideWhenUsed/>
    <w:rsid w:val="00E004EB"/>
    <w:pPr>
      <w:tabs>
        <w:tab w:val="center" w:pos="4819"/>
        <w:tab w:val="right" w:pos="9638"/>
      </w:tabs>
      <w:spacing w:after="0" w:line="240" w:lineRule="auto"/>
    </w:pPr>
  </w:style>
  <w:style w:type="character" w:customStyle="1" w:styleId="HeaderChar">
    <w:name w:val="Header Char"/>
    <w:basedOn w:val="DefaultParagraphFont"/>
    <w:link w:val="Header"/>
    <w:uiPriority w:val="99"/>
    <w:rsid w:val="00E004EB"/>
    <w:rPr>
      <w:rFonts w:ascii="Times New Roman" w:hAnsi="Times New Roman"/>
      <w:sz w:val="20"/>
    </w:rPr>
  </w:style>
  <w:style w:type="paragraph" w:styleId="Footer">
    <w:name w:val="footer"/>
    <w:basedOn w:val="Normal"/>
    <w:link w:val="FooterChar"/>
    <w:uiPriority w:val="99"/>
    <w:unhideWhenUsed/>
    <w:rsid w:val="00E004EB"/>
    <w:pPr>
      <w:tabs>
        <w:tab w:val="center" w:pos="4819"/>
        <w:tab w:val="right" w:pos="9638"/>
      </w:tabs>
      <w:spacing w:after="0" w:line="240" w:lineRule="auto"/>
    </w:pPr>
  </w:style>
  <w:style w:type="character" w:customStyle="1" w:styleId="FooterChar">
    <w:name w:val="Footer Char"/>
    <w:basedOn w:val="DefaultParagraphFont"/>
    <w:link w:val="Footer"/>
    <w:uiPriority w:val="99"/>
    <w:rsid w:val="00E004EB"/>
    <w:rPr>
      <w:rFonts w:ascii="Times New Roman" w:hAnsi="Times New Roman"/>
      <w:sz w:val="20"/>
    </w:rPr>
  </w:style>
  <w:style w:type="paragraph" w:customStyle="1" w:styleId="TAH">
    <w:name w:val="TAH"/>
    <w:basedOn w:val="TAC"/>
    <w:link w:val="TAHCar"/>
    <w:qFormat/>
    <w:rsid w:val="00154530"/>
    <w:rPr>
      <w:b/>
    </w:rPr>
  </w:style>
  <w:style w:type="paragraph" w:customStyle="1" w:styleId="TAC">
    <w:name w:val="TAC"/>
    <w:basedOn w:val="Normal"/>
    <w:link w:val="TACChar"/>
    <w:qFormat/>
    <w:rsid w:val="00154530"/>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154530"/>
    <w:rPr>
      <w:rFonts w:ascii="Arial" w:eastAsia="SimSun" w:hAnsi="Arial" w:cs="Times New Roman"/>
      <w:sz w:val="18"/>
      <w:szCs w:val="20"/>
      <w:lang w:val="en-GB"/>
    </w:rPr>
  </w:style>
  <w:style w:type="character" w:customStyle="1" w:styleId="TAHCar">
    <w:name w:val="TAH Car"/>
    <w:link w:val="TAH"/>
    <w:qFormat/>
    <w:rsid w:val="00154530"/>
    <w:rPr>
      <w:rFonts w:ascii="Arial" w:eastAsia="SimSun" w:hAnsi="Arial" w:cs="Times New Roman"/>
      <w:b/>
      <w:sz w:val="18"/>
      <w:szCs w:val="20"/>
      <w:lang w:val="en-GB"/>
    </w:rPr>
  </w:style>
  <w:style w:type="paragraph" w:customStyle="1" w:styleId="TH">
    <w:name w:val="TH"/>
    <w:basedOn w:val="Normal"/>
    <w:link w:val="THChar"/>
    <w:qFormat/>
    <w:rsid w:val="00154530"/>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154530"/>
    <w:rPr>
      <w:rFonts w:ascii="Arial" w:eastAsia="SimSun" w:hAnsi="Arial" w:cs="Times New Roman"/>
      <w:b/>
      <w:sz w:val="20"/>
      <w:szCs w:val="20"/>
      <w:lang w:val="en-GB"/>
    </w:rPr>
  </w:style>
  <w:style w:type="paragraph" w:customStyle="1" w:styleId="TAN">
    <w:name w:val="TAN"/>
    <w:basedOn w:val="Normal"/>
    <w:link w:val="TANChar"/>
    <w:uiPriority w:val="99"/>
    <w:qFormat/>
    <w:rsid w:val="00154530"/>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uiPriority w:val="99"/>
    <w:qFormat/>
    <w:rsid w:val="00154530"/>
    <w:rPr>
      <w:rFonts w:ascii="Arial" w:eastAsia="SimSun" w:hAnsi="Arial" w:cs="Times New Roman"/>
      <w:sz w:val="18"/>
      <w:szCs w:val="20"/>
      <w:lang w:val="en-GB"/>
    </w:rPr>
  </w:style>
  <w:style w:type="character" w:customStyle="1" w:styleId="EQChar">
    <w:name w:val="EQ Char"/>
    <w:link w:val="EQ"/>
    <w:qFormat/>
    <w:locked/>
    <w:rsid w:val="00506CD5"/>
    <w:rPr>
      <w:noProof/>
    </w:rPr>
  </w:style>
  <w:style w:type="paragraph" w:customStyle="1" w:styleId="EQ">
    <w:name w:val="EQ"/>
    <w:basedOn w:val="Normal"/>
    <w:next w:val="Normal"/>
    <w:link w:val="EQChar"/>
    <w:qFormat/>
    <w:rsid w:val="00506CD5"/>
    <w:pPr>
      <w:keepLines/>
      <w:tabs>
        <w:tab w:val="center" w:pos="4536"/>
        <w:tab w:val="right" w:pos="9072"/>
      </w:tabs>
      <w:spacing w:after="180" w:line="240" w:lineRule="auto"/>
    </w:pPr>
    <w:rPr>
      <w:rFonts w:asciiTheme="minorHAnsi" w:hAnsiTheme="minorHAnsi"/>
      <w:noProof/>
      <w:sz w:val="22"/>
    </w:rPr>
  </w:style>
  <w:style w:type="character" w:customStyle="1" w:styleId="TALCar">
    <w:name w:val="TAL Car"/>
    <w:link w:val="TAL"/>
    <w:qFormat/>
    <w:locked/>
    <w:rsid w:val="00380737"/>
    <w:rPr>
      <w:rFonts w:ascii="Arial" w:hAnsi="Arial" w:cs="Arial"/>
      <w:sz w:val="18"/>
    </w:rPr>
  </w:style>
  <w:style w:type="paragraph" w:customStyle="1" w:styleId="TAL">
    <w:name w:val="TAL"/>
    <w:basedOn w:val="Normal"/>
    <w:link w:val="TALCar"/>
    <w:qFormat/>
    <w:rsid w:val="00380737"/>
    <w:pPr>
      <w:keepNext/>
      <w:keepLines/>
      <w:spacing w:after="0" w:line="240" w:lineRule="auto"/>
    </w:pPr>
    <w:rPr>
      <w:rFonts w:ascii="Arial" w:hAnsi="Arial" w:cs="Arial"/>
      <w:sz w:val="18"/>
    </w:rPr>
  </w:style>
  <w:style w:type="character" w:customStyle="1" w:styleId="Heading3Char">
    <w:name w:val="Heading 3 Char"/>
    <w:basedOn w:val="DefaultParagraphFont"/>
    <w:link w:val="Heading3"/>
    <w:rsid w:val="00CE1438"/>
    <w:rPr>
      <w:rFonts w:ascii="Arial" w:eastAsia="DengXian" w:hAnsi="Arial" w:cs="Times New Roman"/>
      <w:sz w:val="28"/>
      <w:szCs w:val="18"/>
      <w:lang w:val="sv-SE" w:eastAsia="zh-CN"/>
    </w:rPr>
  </w:style>
  <w:style w:type="character" w:customStyle="1" w:styleId="Heading4Char">
    <w:name w:val="Heading 4 Char"/>
    <w:basedOn w:val="DefaultParagraphFont"/>
    <w:link w:val="Heading4"/>
    <w:rsid w:val="00CE1438"/>
    <w:rPr>
      <w:rFonts w:ascii="Arial" w:eastAsia="DengXian" w:hAnsi="Arial" w:cs="Times New Roman"/>
      <w:sz w:val="24"/>
      <w:szCs w:val="18"/>
      <w:lang w:val="sv-SE" w:eastAsia="zh-CN"/>
    </w:rPr>
  </w:style>
  <w:style w:type="character" w:customStyle="1" w:styleId="Heading5Char">
    <w:name w:val="Heading 5 Char"/>
    <w:basedOn w:val="DefaultParagraphFont"/>
    <w:link w:val="Heading5"/>
    <w:rsid w:val="00CE1438"/>
    <w:rPr>
      <w:rFonts w:ascii="Arial" w:eastAsia="DengXian" w:hAnsi="Arial" w:cs="Times New Roman"/>
      <w:szCs w:val="18"/>
      <w:lang w:val="sv-SE" w:eastAsia="zh-CN"/>
    </w:rPr>
  </w:style>
  <w:style w:type="character" w:customStyle="1" w:styleId="Heading6Char">
    <w:name w:val="Heading 6 Char"/>
    <w:basedOn w:val="DefaultParagraphFont"/>
    <w:link w:val="Heading6"/>
    <w:rsid w:val="00CE1438"/>
    <w:rPr>
      <w:rFonts w:ascii="Arial" w:eastAsia="DengXian" w:hAnsi="Arial" w:cs="Times New Roman"/>
      <w:sz w:val="20"/>
      <w:szCs w:val="18"/>
      <w:lang w:val="sv-SE" w:eastAsia="zh-CN"/>
    </w:rPr>
  </w:style>
  <w:style w:type="character" w:customStyle="1" w:styleId="Heading7Char">
    <w:name w:val="Heading 7 Char"/>
    <w:basedOn w:val="DefaultParagraphFont"/>
    <w:link w:val="Heading7"/>
    <w:rsid w:val="00CE1438"/>
    <w:rPr>
      <w:rFonts w:ascii="Arial" w:eastAsia="DengXian" w:hAnsi="Arial" w:cs="Times New Roman"/>
      <w:sz w:val="20"/>
      <w:szCs w:val="18"/>
      <w:lang w:val="sv-SE" w:eastAsia="zh-CN"/>
    </w:rPr>
  </w:style>
  <w:style w:type="character" w:customStyle="1" w:styleId="Heading8Char">
    <w:name w:val="Heading 8 Char"/>
    <w:basedOn w:val="DefaultParagraphFont"/>
    <w:link w:val="Heading8"/>
    <w:rsid w:val="00CE1438"/>
    <w:rPr>
      <w:rFonts w:ascii="Arial" w:eastAsia="DengXian" w:hAnsi="Arial" w:cs="Times New Roman"/>
      <w:sz w:val="36"/>
      <w:szCs w:val="20"/>
      <w:lang w:val="sv-SE"/>
    </w:rPr>
  </w:style>
  <w:style w:type="character" w:customStyle="1" w:styleId="Heading9Char">
    <w:name w:val="Heading 9 Char"/>
    <w:basedOn w:val="DefaultParagraphFont"/>
    <w:link w:val="Heading9"/>
    <w:rsid w:val="00CE1438"/>
    <w:rPr>
      <w:rFonts w:ascii="Arial" w:eastAsia="DengXian" w:hAnsi="Arial" w:cs="Times New Roman"/>
      <w:sz w:val="36"/>
      <w:szCs w:val="20"/>
      <w:lang w:val="sv-SE"/>
    </w:rPr>
  </w:style>
  <w:style w:type="character" w:styleId="PlaceholderText">
    <w:name w:val="Placeholder Text"/>
    <w:basedOn w:val="DefaultParagraphFont"/>
    <w:uiPriority w:val="99"/>
    <w:semiHidden/>
    <w:rsid w:val="003424AE"/>
    <w:rPr>
      <w:color w:val="808080"/>
    </w:rPr>
  </w:style>
  <w:style w:type="character" w:customStyle="1" w:styleId="normaltextrun">
    <w:name w:val="normaltextrun"/>
    <w:basedOn w:val="DefaultParagraphFont"/>
    <w:rsid w:val="005707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455">
      <w:bodyDiv w:val="1"/>
      <w:marLeft w:val="0"/>
      <w:marRight w:val="0"/>
      <w:marTop w:val="0"/>
      <w:marBottom w:val="0"/>
      <w:divBdr>
        <w:top w:val="none" w:sz="0" w:space="0" w:color="auto"/>
        <w:left w:val="none" w:sz="0" w:space="0" w:color="auto"/>
        <w:bottom w:val="none" w:sz="0" w:space="0" w:color="auto"/>
        <w:right w:val="none" w:sz="0" w:space="0" w:color="auto"/>
      </w:divBdr>
      <w:divsChild>
        <w:div w:id="706568434">
          <w:marLeft w:val="0"/>
          <w:marRight w:val="0"/>
          <w:marTop w:val="0"/>
          <w:marBottom w:val="0"/>
          <w:divBdr>
            <w:top w:val="none" w:sz="0" w:space="0" w:color="auto"/>
            <w:left w:val="none" w:sz="0" w:space="0" w:color="auto"/>
            <w:bottom w:val="none" w:sz="0" w:space="0" w:color="auto"/>
            <w:right w:val="none" w:sz="0" w:space="0" w:color="auto"/>
          </w:divBdr>
        </w:div>
        <w:div w:id="1310475964">
          <w:marLeft w:val="0"/>
          <w:marRight w:val="0"/>
          <w:marTop w:val="0"/>
          <w:marBottom w:val="0"/>
          <w:divBdr>
            <w:top w:val="none" w:sz="0" w:space="0" w:color="auto"/>
            <w:left w:val="none" w:sz="0" w:space="0" w:color="auto"/>
            <w:bottom w:val="none" w:sz="0" w:space="0" w:color="auto"/>
            <w:right w:val="none" w:sz="0" w:space="0" w:color="auto"/>
          </w:divBdr>
        </w:div>
        <w:div w:id="1722091482">
          <w:marLeft w:val="0"/>
          <w:marRight w:val="0"/>
          <w:marTop w:val="0"/>
          <w:marBottom w:val="0"/>
          <w:divBdr>
            <w:top w:val="none" w:sz="0" w:space="0" w:color="auto"/>
            <w:left w:val="none" w:sz="0" w:space="0" w:color="auto"/>
            <w:bottom w:val="none" w:sz="0" w:space="0" w:color="auto"/>
            <w:right w:val="none" w:sz="0" w:space="0" w:color="auto"/>
          </w:divBdr>
        </w:div>
        <w:div w:id="1923252217">
          <w:marLeft w:val="0"/>
          <w:marRight w:val="0"/>
          <w:marTop w:val="0"/>
          <w:marBottom w:val="0"/>
          <w:divBdr>
            <w:top w:val="none" w:sz="0" w:space="0" w:color="auto"/>
            <w:left w:val="none" w:sz="0" w:space="0" w:color="auto"/>
            <w:bottom w:val="none" w:sz="0" w:space="0" w:color="auto"/>
            <w:right w:val="none" w:sz="0" w:space="0" w:color="auto"/>
          </w:divBdr>
        </w:div>
      </w:divsChild>
    </w:div>
    <w:div w:id="91320830">
      <w:bodyDiv w:val="1"/>
      <w:marLeft w:val="0"/>
      <w:marRight w:val="0"/>
      <w:marTop w:val="0"/>
      <w:marBottom w:val="0"/>
      <w:divBdr>
        <w:top w:val="none" w:sz="0" w:space="0" w:color="auto"/>
        <w:left w:val="none" w:sz="0" w:space="0" w:color="auto"/>
        <w:bottom w:val="none" w:sz="0" w:space="0" w:color="auto"/>
        <w:right w:val="none" w:sz="0" w:space="0" w:color="auto"/>
      </w:divBdr>
    </w:div>
    <w:div w:id="500194977">
      <w:bodyDiv w:val="1"/>
      <w:marLeft w:val="0"/>
      <w:marRight w:val="0"/>
      <w:marTop w:val="0"/>
      <w:marBottom w:val="0"/>
      <w:divBdr>
        <w:top w:val="none" w:sz="0" w:space="0" w:color="auto"/>
        <w:left w:val="none" w:sz="0" w:space="0" w:color="auto"/>
        <w:bottom w:val="none" w:sz="0" w:space="0" w:color="auto"/>
        <w:right w:val="none" w:sz="0" w:space="0" w:color="auto"/>
      </w:divBdr>
    </w:div>
    <w:div w:id="704449466">
      <w:bodyDiv w:val="1"/>
      <w:marLeft w:val="0"/>
      <w:marRight w:val="0"/>
      <w:marTop w:val="0"/>
      <w:marBottom w:val="0"/>
      <w:divBdr>
        <w:top w:val="none" w:sz="0" w:space="0" w:color="auto"/>
        <w:left w:val="none" w:sz="0" w:space="0" w:color="auto"/>
        <w:bottom w:val="none" w:sz="0" w:space="0" w:color="auto"/>
        <w:right w:val="none" w:sz="0" w:space="0" w:color="auto"/>
      </w:divBdr>
    </w:div>
    <w:div w:id="733430117">
      <w:bodyDiv w:val="1"/>
      <w:marLeft w:val="0"/>
      <w:marRight w:val="0"/>
      <w:marTop w:val="0"/>
      <w:marBottom w:val="0"/>
      <w:divBdr>
        <w:top w:val="none" w:sz="0" w:space="0" w:color="auto"/>
        <w:left w:val="none" w:sz="0" w:space="0" w:color="auto"/>
        <w:bottom w:val="none" w:sz="0" w:space="0" w:color="auto"/>
        <w:right w:val="none" w:sz="0" w:space="0" w:color="auto"/>
      </w:divBdr>
    </w:div>
    <w:div w:id="752817312">
      <w:bodyDiv w:val="1"/>
      <w:marLeft w:val="0"/>
      <w:marRight w:val="0"/>
      <w:marTop w:val="0"/>
      <w:marBottom w:val="0"/>
      <w:divBdr>
        <w:top w:val="none" w:sz="0" w:space="0" w:color="auto"/>
        <w:left w:val="none" w:sz="0" w:space="0" w:color="auto"/>
        <w:bottom w:val="none" w:sz="0" w:space="0" w:color="auto"/>
        <w:right w:val="none" w:sz="0" w:space="0" w:color="auto"/>
      </w:divBdr>
    </w:div>
    <w:div w:id="873268910">
      <w:bodyDiv w:val="1"/>
      <w:marLeft w:val="0"/>
      <w:marRight w:val="0"/>
      <w:marTop w:val="0"/>
      <w:marBottom w:val="0"/>
      <w:divBdr>
        <w:top w:val="none" w:sz="0" w:space="0" w:color="auto"/>
        <w:left w:val="none" w:sz="0" w:space="0" w:color="auto"/>
        <w:bottom w:val="none" w:sz="0" w:space="0" w:color="auto"/>
        <w:right w:val="none" w:sz="0" w:space="0" w:color="auto"/>
      </w:divBdr>
    </w:div>
    <w:div w:id="931471240">
      <w:bodyDiv w:val="1"/>
      <w:marLeft w:val="0"/>
      <w:marRight w:val="0"/>
      <w:marTop w:val="0"/>
      <w:marBottom w:val="0"/>
      <w:divBdr>
        <w:top w:val="none" w:sz="0" w:space="0" w:color="auto"/>
        <w:left w:val="none" w:sz="0" w:space="0" w:color="auto"/>
        <w:bottom w:val="none" w:sz="0" w:space="0" w:color="auto"/>
        <w:right w:val="none" w:sz="0" w:space="0" w:color="auto"/>
      </w:divBdr>
    </w:div>
    <w:div w:id="966273339">
      <w:bodyDiv w:val="1"/>
      <w:marLeft w:val="0"/>
      <w:marRight w:val="0"/>
      <w:marTop w:val="0"/>
      <w:marBottom w:val="0"/>
      <w:divBdr>
        <w:top w:val="none" w:sz="0" w:space="0" w:color="auto"/>
        <w:left w:val="none" w:sz="0" w:space="0" w:color="auto"/>
        <w:bottom w:val="none" w:sz="0" w:space="0" w:color="auto"/>
        <w:right w:val="none" w:sz="0" w:space="0" w:color="auto"/>
      </w:divBdr>
    </w:div>
    <w:div w:id="1033847338">
      <w:bodyDiv w:val="1"/>
      <w:marLeft w:val="0"/>
      <w:marRight w:val="0"/>
      <w:marTop w:val="0"/>
      <w:marBottom w:val="0"/>
      <w:divBdr>
        <w:top w:val="none" w:sz="0" w:space="0" w:color="auto"/>
        <w:left w:val="none" w:sz="0" w:space="0" w:color="auto"/>
        <w:bottom w:val="none" w:sz="0" w:space="0" w:color="auto"/>
        <w:right w:val="none" w:sz="0" w:space="0" w:color="auto"/>
      </w:divBdr>
    </w:div>
    <w:div w:id="1196692697">
      <w:bodyDiv w:val="1"/>
      <w:marLeft w:val="0"/>
      <w:marRight w:val="0"/>
      <w:marTop w:val="0"/>
      <w:marBottom w:val="0"/>
      <w:divBdr>
        <w:top w:val="none" w:sz="0" w:space="0" w:color="auto"/>
        <w:left w:val="none" w:sz="0" w:space="0" w:color="auto"/>
        <w:bottom w:val="none" w:sz="0" w:space="0" w:color="auto"/>
        <w:right w:val="none" w:sz="0" w:space="0" w:color="auto"/>
      </w:divBdr>
    </w:div>
    <w:div w:id="1212613563">
      <w:bodyDiv w:val="1"/>
      <w:marLeft w:val="0"/>
      <w:marRight w:val="0"/>
      <w:marTop w:val="0"/>
      <w:marBottom w:val="0"/>
      <w:divBdr>
        <w:top w:val="none" w:sz="0" w:space="0" w:color="auto"/>
        <w:left w:val="none" w:sz="0" w:space="0" w:color="auto"/>
        <w:bottom w:val="none" w:sz="0" w:space="0" w:color="auto"/>
        <w:right w:val="none" w:sz="0" w:space="0" w:color="auto"/>
      </w:divBdr>
    </w:div>
    <w:div w:id="1257984469">
      <w:bodyDiv w:val="1"/>
      <w:marLeft w:val="0"/>
      <w:marRight w:val="0"/>
      <w:marTop w:val="0"/>
      <w:marBottom w:val="0"/>
      <w:divBdr>
        <w:top w:val="none" w:sz="0" w:space="0" w:color="auto"/>
        <w:left w:val="none" w:sz="0" w:space="0" w:color="auto"/>
        <w:bottom w:val="none" w:sz="0" w:space="0" w:color="auto"/>
        <w:right w:val="none" w:sz="0" w:space="0" w:color="auto"/>
      </w:divBdr>
    </w:div>
    <w:div w:id="1266110995">
      <w:bodyDiv w:val="1"/>
      <w:marLeft w:val="0"/>
      <w:marRight w:val="0"/>
      <w:marTop w:val="0"/>
      <w:marBottom w:val="0"/>
      <w:divBdr>
        <w:top w:val="none" w:sz="0" w:space="0" w:color="auto"/>
        <w:left w:val="none" w:sz="0" w:space="0" w:color="auto"/>
        <w:bottom w:val="none" w:sz="0" w:space="0" w:color="auto"/>
        <w:right w:val="none" w:sz="0" w:space="0" w:color="auto"/>
      </w:divBdr>
    </w:div>
    <w:div w:id="1289582099">
      <w:bodyDiv w:val="1"/>
      <w:marLeft w:val="0"/>
      <w:marRight w:val="0"/>
      <w:marTop w:val="0"/>
      <w:marBottom w:val="0"/>
      <w:divBdr>
        <w:top w:val="none" w:sz="0" w:space="0" w:color="auto"/>
        <w:left w:val="none" w:sz="0" w:space="0" w:color="auto"/>
        <w:bottom w:val="none" w:sz="0" w:space="0" w:color="auto"/>
        <w:right w:val="none" w:sz="0" w:space="0" w:color="auto"/>
      </w:divBdr>
    </w:div>
    <w:div w:id="1315258856">
      <w:bodyDiv w:val="1"/>
      <w:marLeft w:val="0"/>
      <w:marRight w:val="0"/>
      <w:marTop w:val="0"/>
      <w:marBottom w:val="0"/>
      <w:divBdr>
        <w:top w:val="none" w:sz="0" w:space="0" w:color="auto"/>
        <w:left w:val="none" w:sz="0" w:space="0" w:color="auto"/>
        <w:bottom w:val="none" w:sz="0" w:space="0" w:color="auto"/>
        <w:right w:val="none" w:sz="0" w:space="0" w:color="auto"/>
      </w:divBdr>
    </w:div>
    <w:div w:id="1317613810">
      <w:bodyDiv w:val="1"/>
      <w:marLeft w:val="0"/>
      <w:marRight w:val="0"/>
      <w:marTop w:val="0"/>
      <w:marBottom w:val="0"/>
      <w:divBdr>
        <w:top w:val="none" w:sz="0" w:space="0" w:color="auto"/>
        <w:left w:val="none" w:sz="0" w:space="0" w:color="auto"/>
        <w:bottom w:val="none" w:sz="0" w:space="0" w:color="auto"/>
        <w:right w:val="none" w:sz="0" w:space="0" w:color="auto"/>
      </w:divBdr>
    </w:div>
    <w:div w:id="1356157454">
      <w:bodyDiv w:val="1"/>
      <w:marLeft w:val="0"/>
      <w:marRight w:val="0"/>
      <w:marTop w:val="0"/>
      <w:marBottom w:val="0"/>
      <w:divBdr>
        <w:top w:val="none" w:sz="0" w:space="0" w:color="auto"/>
        <w:left w:val="none" w:sz="0" w:space="0" w:color="auto"/>
        <w:bottom w:val="none" w:sz="0" w:space="0" w:color="auto"/>
        <w:right w:val="none" w:sz="0" w:space="0" w:color="auto"/>
      </w:divBdr>
    </w:div>
    <w:div w:id="1373072360">
      <w:bodyDiv w:val="1"/>
      <w:marLeft w:val="0"/>
      <w:marRight w:val="0"/>
      <w:marTop w:val="0"/>
      <w:marBottom w:val="0"/>
      <w:divBdr>
        <w:top w:val="none" w:sz="0" w:space="0" w:color="auto"/>
        <w:left w:val="none" w:sz="0" w:space="0" w:color="auto"/>
        <w:bottom w:val="none" w:sz="0" w:space="0" w:color="auto"/>
        <w:right w:val="none" w:sz="0" w:space="0" w:color="auto"/>
      </w:divBdr>
    </w:div>
    <w:div w:id="1402630540">
      <w:bodyDiv w:val="1"/>
      <w:marLeft w:val="0"/>
      <w:marRight w:val="0"/>
      <w:marTop w:val="0"/>
      <w:marBottom w:val="0"/>
      <w:divBdr>
        <w:top w:val="none" w:sz="0" w:space="0" w:color="auto"/>
        <w:left w:val="none" w:sz="0" w:space="0" w:color="auto"/>
        <w:bottom w:val="none" w:sz="0" w:space="0" w:color="auto"/>
        <w:right w:val="none" w:sz="0" w:space="0" w:color="auto"/>
      </w:divBdr>
    </w:div>
    <w:div w:id="1431587275">
      <w:bodyDiv w:val="1"/>
      <w:marLeft w:val="0"/>
      <w:marRight w:val="0"/>
      <w:marTop w:val="0"/>
      <w:marBottom w:val="0"/>
      <w:divBdr>
        <w:top w:val="none" w:sz="0" w:space="0" w:color="auto"/>
        <w:left w:val="none" w:sz="0" w:space="0" w:color="auto"/>
        <w:bottom w:val="none" w:sz="0" w:space="0" w:color="auto"/>
        <w:right w:val="none" w:sz="0" w:space="0" w:color="auto"/>
      </w:divBdr>
    </w:div>
    <w:div w:id="1467046800">
      <w:bodyDiv w:val="1"/>
      <w:marLeft w:val="0"/>
      <w:marRight w:val="0"/>
      <w:marTop w:val="0"/>
      <w:marBottom w:val="0"/>
      <w:divBdr>
        <w:top w:val="none" w:sz="0" w:space="0" w:color="auto"/>
        <w:left w:val="none" w:sz="0" w:space="0" w:color="auto"/>
        <w:bottom w:val="none" w:sz="0" w:space="0" w:color="auto"/>
        <w:right w:val="none" w:sz="0" w:space="0" w:color="auto"/>
      </w:divBdr>
    </w:div>
    <w:div w:id="1553349291">
      <w:bodyDiv w:val="1"/>
      <w:marLeft w:val="0"/>
      <w:marRight w:val="0"/>
      <w:marTop w:val="0"/>
      <w:marBottom w:val="0"/>
      <w:divBdr>
        <w:top w:val="none" w:sz="0" w:space="0" w:color="auto"/>
        <w:left w:val="none" w:sz="0" w:space="0" w:color="auto"/>
        <w:bottom w:val="none" w:sz="0" w:space="0" w:color="auto"/>
        <w:right w:val="none" w:sz="0" w:space="0" w:color="auto"/>
      </w:divBdr>
    </w:div>
    <w:div w:id="1675760487">
      <w:bodyDiv w:val="1"/>
      <w:marLeft w:val="0"/>
      <w:marRight w:val="0"/>
      <w:marTop w:val="0"/>
      <w:marBottom w:val="0"/>
      <w:divBdr>
        <w:top w:val="none" w:sz="0" w:space="0" w:color="auto"/>
        <w:left w:val="none" w:sz="0" w:space="0" w:color="auto"/>
        <w:bottom w:val="none" w:sz="0" w:space="0" w:color="auto"/>
        <w:right w:val="none" w:sz="0" w:space="0" w:color="auto"/>
      </w:divBdr>
    </w:div>
    <w:div w:id="173430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5AIRPNAIUNRU-1328258698-11061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https://nokia.sharepoint.com/sites/c5g/5gradio/_layouts/15/DocIdRedir.aspx?ID=5AIRPNAIUNRU-1328258698-11061</Url>
      <Description>5AIRPNAIUNRU-1328258698-11061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purl.org/dc/terms/"/>
    <ds:schemaRef ds:uri="0b6aed8e-0313-4d17-80ff-d0e5da4931c5"/>
    <ds:schemaRef ds:uri="http://purl.org/dc/elements/1.1/"/>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4</Pages>
  <Words>1278</Words>
  <Characters>7798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Erika Almeida</cp:lastModifiedBy>
  <cp:revision>6</cp:revision>
  <dcterms:created xsi:type="dcterms:W3CDTF">2022-03-29T12:05:00Z</dcterms:created>
  <dcterms:modified xsi:type="dcterms:W3CDTF">2022-04-25T11:42:00Z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77ada1e1-3a2e-444a-be82-3311e497deb2</vt:lpwstr>
  </property>
</Properties>
</file>